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0295" w14:textId="2EC25A5C" w:rsidR="00D00366" w:rsidRDefault="00D00366" w:rsidP="00DE7B24">
      <w:p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w:t>
      </w:r>
      <w:r w:rsidRPr="00D00366">
        <w:rPr>
          <w:rFonts w:ascii="Book Antiqua" w:hAnsi="Book Antiqua" w:cs="Poppins"/>
          <w:b/>
          <w:bCs/>
          <w:color w:val="EE0000"/>
          <w:sz w:val="22"/>
          <w:szCs w:val="22"/>
          <w:shd w:val="clear" w:color="auto" w:fill="FFFFFF"/>
        </w:rPr>
        <w:t>Disclaimer:</w:t>
      </w:r>
    </w:p>
    <w:p w14:paraId="55570D2C" w14:textId="7A5AF2C6" w:rsidR="00D00366" w:rsidRDefault="00D00366" w:rsidP="00DE7B24">
      <w:p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These notes are for illustrative purposes and entities may modify the notes as per their requirement</w:t>
      </w:r>
    </w:p>
    <w:p w14:paraId="7B2D5C21" w14:textId="296ACAF6" w:rsidR="00D00366" w:rsidRDefault="00D00366" w:rsidP="00DE7B24">
      <w:p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These notes are in addition to the regular notes to Financial Statements as prescribed by the Institute of Chartered Accountants of India in the Illustrative Format of Financial Statements for Non-Corporate Entities, annexed to the Guidance Note.</w:t>
      </w:r>
    </w:p>
    <w:p w14:paraId="4C98B676" w14:textId="2E773894" w:rsidR="00D00366" w:rsidRDefault="00D00366" w:rsidP="00DE7B24">
      <w:p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For accessing the Guidance notes, Illustrative format of Financial Statements and Related Contents, users may please use the resources section of our website]</w:t>
      </w:r>
    </w:p>
    <w:p w14:paraId="6AA53156" w14:textId="77777777" w:rsidR="00D00366" w:rsidRDefault="00D00366" w:rsidP="00DE7B24">
      <w:pPr>
        <w:jc w:val="both"/>
        <w:rPr>
          <w:rFonts w:ascii="Book Antiqua" w:hAnsi="Book Antiqua" w:cs="Poppins"/>
          <w:b/>
          <w:bCs/>
          <w:sz w:val="22"/>
          <w:szCs w:val="22"/>
          <w:shd w:val="clear" w:color="auto" w:fill="FFFFFF"/>
        </w:rPr>
      </w:pPr>
    </w:p>
    <w:p w14:paraId="33918C54" w14:textId="21D02CC2" w:rsidR="00BC5EDB" w:rsidRPr="00DE7B24" w:rsidRDefault="00D00366" w:rsidP="00DE7B24">
      <w:p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 xml:space="preserve">MODEL </w:t>
      </w:r>
      <w:r w:rsidR="00BC5EDB" w:rsidRPr="00DE7B24">
        <w:rPr>
          <w:rFonts w:ascii="Book Antiqua" w:hAnsi="Book Antiqua" w:cs="Poppins"/>
          <w:b/>
          <w:bCs/>
          <w:sz w:val="22"/>
          <w:szCs w:val="22"/>
          <w:shd w:val="clear" w:color="auto" w:fill="FFFFFF"/>
        </w:rPr>
        <w:t>NOTES TO ACCOUNTS</w:t>
      </w:r>
      <w:r w:rsidR="00ED1939">
        <w:rPr>
          <w:rFonts w:ascii="Book Antiqua" w:hAnsi="Book Antiqua" w:cs="Poppins"/>
          <w:b/>
          <w:bCs/>
          <w:sz w:val="22"/>
          <w:szCs w:val="22"/>
          <w:shd w:val="clear" w:color="auto" w:fill="FFFFFF"/>
        </w:rPr>
        <w:t xml:space="preserve"> FOR Level 4 Entities</w:t>
      </w:r>
      <w:r w:rsidR="00BC5EDB" w:rsidRPr="00DE7B24">
        <w:rPr>
          <w:rFonts w:ascii="Book Antiqua" w:hAnsi="Book Antiqua" w:cs="Poppins"/>
          <w:b/>
          <w:bCs/>
          <w:sz w:val="22"/>
          <w:szCs w:val="22"/>
          <w:shd w:val="clear" w:color="auto" w:fill="FFFFFF"/>
        </w:rPr>
        <w:t xml:space="preserve"> – For the year ended 31st March 2025 </w:t>
      </w:r>
    </w:p>
    <w:p w14:paraId="1E05C2F8" w14:textId="77777777" w:rsidR="00BC5EDB" w:rsidRPr="00DE7B24" w:rsidRDefault="00BC5EDB" w:rsidP="00DE7B24">
      <w:pPr>
        <w:jc w:val="both"/>
        <w:rPr>
          <w:rFonts w:ascii="Book Antiqua" w:hAnsi="Book Antiqua" w:cs="Poppins"/>
          <w:sz w:val="22"/>
          <w:szCs w:val="22"/>
          <w:shd w:val="clear" w:color="auto" w:fill="FFFFFF"/>
        </w:rPr>
      </w:pPr>
    </w:p>
    <w:p w14:paraId="749684A8" w14:textId="4CD9A7C9" w:rsidR="00BC5EDB" w:rsidRPr="00DE7B24" w:rsidRDefault="00BC5EDB" w:rsidP="00DE7B24">
      <w:p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Note – </w:t>
      </w:r>
      <w:proofErr w:type="gramStart"/>
      <w:r w:rsidRPr="00DE7B24">
        <w:rPr>
          <w:rFonts w:ascii="Book Antiqua" w:hAnsi="Book Antiqua" w:cs="Poppins"/>
          <w:b/>
          <w:bCs/>
          <w:sz w:val="22"/>
          <w:szCs w:val="22"/>
          <w:shd w:val="clear" w:color="auto" w:fill="FFFFFF"/>
        </w:rPr>
        <w:t>1 :</w:t>
      </w:r>
      <w:proofErr w:type="gramEnd"/>
      <w:r w:rsidRPr="00DE7B24">
        <w:rPr>
          <w:rFonts w:ascii="Book Antiqua" w:hAnsi="Book Antiqua" w:cs="Poppins"/>
          <w:b/>
          <w:bCs/>
          <w:sz w:val="22"/>
          <w:szCs w:val="22"/>
          <w:shd w:val="clear" w:color="auto" w:fill="FFFFFF"/>
        </w:rPr>
        <w:t xml:space="preserve"> About the Firm/Trust/Society/Entity</w:t>
      </w:r>
    </w:p>
    <w:p w14:paraId="7D136635" w14:textId="06C21A93" w:rsidR="00BC5EDB" w:rsidRPr="00DE7B24" w:rsidRDefault="00BC5EDB" w:rsidP="00DE7B24">
      <w:pPr>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(Background of the Firm/Trust/Society/Entity)</w:t>
      </w:r>
    </w:p>
    <w:p w14:paraId="64777656" w14:textId="15978E7D" w:rsidR="00BC5EDB" w:rsidRPr="00DE7B24" w:rsidRDefault="00BC5EDB" w:rsidP="00DE7B24">
      <w:pPr>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The Firm/Trust/Society/Entity falls under Level 4 entity </w:t>
      </w:r>
      <w:r w:rsidR="00577C3A" w:rsidRPr="00DE7B24">
        <w:rPr>
          <w:rFonts w:ascii="Book Antiqua" w:hAnsi="Book Antiqua" w:cs="Poppins"/>
          <w:sz w:val="22"/>
          <w:szCs w:val="22"/>
          <w:shd w:val="clear" w:color="auto" w:fill="FFFFFF"/>
        </w:rPr>
        <w:t>as prescribed</w:t>
      </w:r>
      <w:r w:rsidR="0015709B">
        <w:rPr>
          <w:rFonts w:ascii="Book Antiqua" w:hAnsi="Book Antiqua" w:cs="Poppins"/>
          <w:sz w:val="22"/>
          <w:szCs w:val="22"/>
          <w:shd w:val="clear" w:color="auto" w:fill="FFFFFF"/>
        </w:rPr>
        <w:t xml:space="preserve"> under the </w:t>
      </w:r>
      <w:r w:rsidR="0015709B" w:rsidRPr="00DE7B24">
        <w:rPr>
          <w:rFonts w:ascii="Book Antiqua" w:hAnsi="Book Antiqua" w:cs="Poppins"/>
          <w:sz w:val="22"/>
          <w:szCs w:val="22"/>
          <w:shd w:val="clear" w:color="auto" w:fill="FFFFFF"/>
        </w:rPr>
        <w:t>Appendix to Accounting Standards</w:t>
      </w:r>
      <w:r w:rsidR="0015709B">
        <w:rPr>
          <w:rFonts w:ascii="Book Antiqua" w:hAnsi="Book Antiqua" w:cs="Poppins"/>
          <w:sz w:val="22"/>
          <w:szCs w:val="22"/>
          <w:shd w:val="clear" w:color="auto" w:fill="FFFFFF"/>
        </w:rPr>
        <w:t xml:space="preserve"> issued</w:t>
      </w:r>
      <w:r w:rsidR="00577C3A" w:rsidRPr="00DE7B24">
        <w:rPr>
          <w:rFonts w:ascii="Book Antiqua" w:hAnsi="Book Antiqua" w:cs="Poppins"/>
          <w:sz w:val="22"/>
          <w:szCs w:val="22"/>
          <w:shd w:val="clear" w:color="auto" w:fill="FFFFFF"/>
        </w:rPr>
        <w:t xml:space="preserve"> by the Institute of Chartered Accountants of India. According</w:t>
      </w:r>
      <w:r w:rsidR="0015709B">
        <w:rPr>
          <w:rFonts w:ascii="Book Antiqua" w:hAnsi="Book Antiqua" w:cs="Poppins"/>
          <w:sz w:val="22"/>
          <w:szCs w:val="22"/>
          <w:shd w:val="clear" w:color="auto" w:fill="FFFFFF"/>
        </w:rPr>
        <w:t>ly</w:t>
      </w:r>
      <w:r w:rsidR="0034551F">
        <w:rPr>
          <w:rFonts w:ascii="Book Antiqua" w:hAnsi="Book Antiqua" w:cs="Poppins"/>
          <w:sz w:val="22"/>
          <w:szCs w:val="22"/>
          <w:shd w:val="clear" w:color="auto" w:fill="FFFFFF"/>
        </w:rPr>
        <w:t>,</w:t>
      </w:r>
      <w:r w:rsidR="00577C3A" w:rsidRPr="00DE7B24">
        <w:rPr>
          <w:rFonts w:ascii="Book Antiqua" w:hAnsi="Book Antiqua" w:cs="Poppins"/>
          <w:sz w:val="22"/>
          <w:szCs w:val="22"/>
          <w:shd w:val="clear" w:color="auto" w:fill="FFFFFF"/>
        </w:rPr>
        <w:t xml:space="preserve"> the</w:t>
      </w:r>
      <w:r w:rsidRPr="00DE7B24">
        <w:rPr>
          <w:rFonts w:ascii="Book Antiqua" w:hAnsi="Book Antiqua" w:cs="Poppins"/>
          <w:sz w:val="22"/>
          <w:szCs w:val="22"/>
          <w:shd w:val="clear" w:color="auto" w:fill="FFFFFF"/>
        </w:rPr>
        <w:t xml:space="preserve"> </w:t>
      </w:r>
      <w:r w:rsidR="00577C3A" w:rsidRPr="00DE7B24">
        <w:rPr>
          <w:rFonts w:ascii="Book Antiqua" w:hAnsi="Book Antiqua" w:cs="Poppins"/>
          <w:sz w:val="22"/>
          <w:szCs w:val="22"/>
          <w:shd w:val="clear" w:color="auto" w:fill="FFFFFF"/>
        </w:rPr>
        <w:t xml:space="preserve">Firm/Trust/Society/Entity has compiled with the accounting standards as per the applicability to </w:t>
      </w:r>
      <w:r w:rsidR="0015709B">
        <w:rPr>
          <w:rFonts w:ascii="Book Antiqua" w:hAnsi="Book Antiqua" w:cs="Poppins"/>
          <w:sz w:val="22"/>
          <w:szCs w:val="22"/>
          <w:shd w:val="clear" w:color="auto" w:fill="FFFFFF"/>
        </w:rPr>
        <w:t>Level 4 Entities</w:t>
      </w:r>
      <w:r w:rsidR="00577C3A" w:rsidRPr="00DE7B24">
        <w:rPr>
          <w:rFonts w:ascii="Book Antiqua" w:hAnsi="Book Antiqua" w:cs="Poppins"/>
          <w:sz w:val="22"/>
          <w:szCs w:val="22"/>
          <w:shd w:val="clear" w:color="auto" w:fill="FFFFFF"/>
        </w:rPr>
        <w:t>.</w:t>
      </w:r>
    </w:p>
    <w:p w14:paraId="65BCEB24" w14:textId="77777777" w:rsidR="00BC5EDB" w:rsidRPr="00DE7B24" w:rsidRDefault="00BC5EDB" w:rsidP="00DE7B24">
      <w:pPr>
        <w:jc w:val="both"/>
        <w:rPr>
          <w:rFonts w:ascii="Book Antiqua" w:hAnsi="Book Antiqua" w:cs="Poppins"/>
          <w:sz w:val="22"/>
          <w:szCs w:val="22"/>
          <w:shd w:val="clear" w:color="auto" w:fill="FFFFFF"/>
        </w:rPr>
      </w:pPr>
    </w:p>
    <w:p w14:paraId="0064B4CC" w14:textId="77777777" w:rsidR="00041C83" w:rsidRDefault="00577C3A" w:rsidP="00DE7B24">
      <w:p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Note – 2 </w:t>
      </w:r>
    </w:p>
    <w:p w14:paraId="2E763856" w14:textId="3278A2EB" w:rsidR="00BC5EDB" w:rsidRPr="00DE7B24" w:rsidRDefault="00041C83" w:rsidP="00DE7B24">
      <w:p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A</w:t>
      </w:r>
      <w:r w:rsidR="00577C3A" w:rsidRPr="00DE7B24">
        <w:rPr>
          <w:rFonts w:ascii="Book Antiqua" w:hAnsi="Book Antiqua" w:cs="Poppins"/>
          <w:b/>
          <w:bCs/>
          <w:sz w:val="22"/>
          <w:szCs w:val="22"/>
          <w:shd w:val="clear" w:color="auto" w:fill="FFFFFF"/>
        </w:rPr>
        <w:t>: Significant Accounting Policies</w:t>
      </w:r>
    </w:p>
    <w:p w14:paraId="5025D25A" w14:textId="77777777" w:rsidR="00BC5EDB" w:rsidRPr="00DE7B24" w:rsidRDefault="00BC5EDB" w:rsidP="00DE7B24">
      <w:pPr>
        <w:jc w:val="both"/>
        <w:rPr>
          <w:rFonts w:ascii="Book Antiqua" w:hAnsi="Book Antiqua" w:cs="Poppins"/>
          <w:sz w:val="22"/>
          <w:szCs w:val="22"/>
          <w:shd w:val="clear" w:color="auto" w:fill="FFFFFF"/>
        </w:rPr>
      </w:pPr>
    </w:p>
    <w:p w14:paraId="4550C011" w14:textId="77777777" w:rsidR="0063113A" w:rsidRPr="00DE7B24" w:rsidRDefault="00BC5EDB"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Compliance </w:t>
      </w:r>
    </w:p>
    <w:p w14:paraId="527AEF5A"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69174A72" w14:textId="3D8FD8BF" w:rsidR="0063113A" w:rsidRPr="00DE7B24" w:rsidRDefault="00BC5EDB"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The financial statements have been prepared in accordance with the Guidance Note issued by the Institute of Chartered Accountants of India (ICAI) for the presentation of financial statements of non-corporate entities. This is the first year of compliance with the ICAI framework. Accordingly, the previous year’s figures have been regrouped or recast wherever necessary to make them comparable.</w:t>
      </w:r>
    </w:p>
    <w:p w14:paraId="6F764978" w14:textId="21AC4672" w:rsidR="0063113A" w:rsidRPr="00DE7B24" w:rsidRDefault="00BC5EDB"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 </w:t>
      </w:r>
    </w:p>
    <w:p w14:paraId="33D96E26" w14:textId="794362D8" w:rsidR="0063113A" w:rsidRPr="00DE7B24" w:rsidRDefault="0063113A"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Basis of Preparation</w:t>
      </w:r>
    </w:p>
    <w:p w14:paraId="47176FFE"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78BF890F" w14:textId="03EADBA8" w:rsidR="0063113A" w:rsidRPr="00DE7B24" w:rsidRDefault="0063113A"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These financial statements have been prepared on accrual basis under historical cost convention in accordance with the Generally Accepted Accounting Principles in India (Indian GAAP) and the Accounting Standards prescribed by the Institute of Chartered Accountants of India.</w:t>
      </w:r>
    </w:p>
    <w:p w14:paraId="7126B7B1"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5F36E11A" w14:textId="34FB76D3" w:rsidR="0063113A" w:rsidRPr="00DE7B24" w:rsidRDefault="0063113A"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lastRenderedPageBreak/>
        <w:t>The assets and liabilities are stated at historical cost basis except those that are specifically stated to have been measured at the Fair Value. The accounting policies followed by the Firm/Trust/Society/Entity are consistently applied, unless expressly so stated.</w:t>
      </w:r>
    </w:p>
    <w:p w14:paraId="45845AF1"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2F87EE8C" w14:textId="3998FADE" w:rsidR="0063113A" w:rsidRPr="00DE7B24" w:rsidRDefault="0063113A"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The Financial Statements have been presented in Indian Rupee (INR), which is the functional and operational currency of the Firm.</w:t>
      </w:r>
    </w:p>
    <w:p w14:paraId="216322E7"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43E08F5C" w14:textId="77777777" w:rsidR="0063113A" w:rsidRPr="00DE7B24" w:rsidRDefault="00BC5EDB"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Going Concern </w:t>
      </w:r>
    </w:p>
    <w:p w14:paraId="3EA7A929"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57424F9C" w14:textId="77777777" w:rsidR="007157DD" w:rsidRPr="007157DD" w:rsidRDefault="007157DD" w:rsidP="007157DD">
      <w:pPr>
        <w:pStyle w:val="ListParagraph"/>
        <w:jc w:val="both"/>
        <w:rPr>
          <w:rFonts w:ascii="Book Antiqua" w:hAnsi="Book Antiqua" w:cs="Poppins"/>
          <w:sz w:val="22"/>
          <w:szCs w:val="22"/>
          <w:shd w:val="clear" w:color="auto" w:fill="FFFFFF"/>
        </w:rPr>
      </w:pPr>
      <w:r w:rsidRPr="007157DD">
        <w:rPr>
          <w:rFonts w:ascii="Book Antiqua" w:hAnsi="Book Antiqua" w:cs="Poppins"/>
          <w:sz w:val="22"/>
          <w:szCs w:val="22"/>
          <w:shd w:val="clear" w:color="auto" w:fill="FFFFFF"/>
        </w:rPr>
        <w:t>The financial statements of the Firm/Trust/Society/Entity have been prepared on the assumption that the entity will continue to operate as a going concern for the foreseeable future. The management has neither the intention nor the necessity to liquidate or significantly curtail the scale of its operations.</w:t>
      </w:r>
    </w:p>
    <w:p w14:paraId="1636F02E" w14:textId="77777777" w:rsidR="007157DD" w:rsidRDefault="007157DD" w:rsidP="007157DD">
      <w:pPr>
        <w:pStyle w:val="ListParagraph"/>
        <w:jc w:val="both"/>
        <w:rPr>
          <w:rFonts w:ascii="Book Antiqua" w:hAnsi="Book Antiqua" w:cs="Poppins"/>
          <w:sz w:val="22"/>
          <w:szCs w:val="22"/>
          <w:shd w:val="clear" w:color="auto" w:fill="FFFFFF"/>
        </w:rPr>
      </w:pPr>
    </w:p>
    <w:p w14:paraId="25F4E8A4" w14:textId="37F6E834" w:rsidR="007157DD" w:rsidRPr="007157DD" w:rsidRDefault="007157DD" w:rsidP="007157DD">
      <w:pPr>
        <w:pStyle w:val="ListParagraph"/>
        <w:jc w:val="both"/>
        <w:rPr>
          <w:rFonts w:ascii="Book Antiqua" w:hAnsi="Book Antiqua" w:cs="Poppins"/>
          <w:sz w:val="22"/>
          <w:szCs w:val="22"/>
          <w:shd w:val="clear" w:color="auto" w:fill="FFFFFF"/>
        </w:rPr>
      </w:pPr>
      <w:r w:rsidRPr="007157DD">
        <w:rPr>
          <w:rFonts w:ascii="Book Antiqua" w:hAnsi="Book Antiqua" w:cs="Poppins"/>
          <w:sz w:val="22"/>
          <w:szCs w:val="22"/>
          <w:shd w:val="clear" w:color="auto" w:fill="FFFFFF"/>
        </w:rPr>
        <w:t>The entity has adequate resources to continue its operations and meet its obligations as and when they fall due. There have been no significant adverse financial or operational developments post the reporting date that would cast doubt on the entity’s ability to continue as a going concern. Accordingly, the financial statements do not include any adjustments that may arise in the event the entity is unable to continue its operations on a going concern basis.</w:t>
      </w:r>
    </w:p>
    <w:p w14:paraId="6F0F41FA" w14:textId="77777777" w:rsidR="007118D3" w:rsidRPr="00DE7B24" w:rsidRDefault="007118D3" w:rsidP="00DE7B24">
      <w:pPr>
        <w:pStyle w:val="ListParagraph"/>
        <w:jc w:val="both"/>
        <w:rPr>
          <w:rFonts w:ascii="Book Antiqua" w:hAnsi="Book Antiqua" w:cs="Poppins"/>
          <w:sz w:val="22"/>
          <w:szCs w:val="22"/>
          <w:shd w:val="clear" w:color="auto" w:fill="FFFFFF"/>
        </w:rPr>
      </w:pPr>
    </w:p>
    <w:p w14:paraId="1BF000D5" w14:textId="2EA1EC1B" w:rsidR="0063113A" w:rsidRPr="00DE7B24" w:rsidRDefault="0063113A"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Use of Estimates</w:t>
      </w:r>
    </w:p>
    <w:p w14:paraId="2AA5DD05"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3B007EC7" w14:textId="1CD578FE" w:rsidR="0063113A" w:rsidRPr="00DE7B24" w:rsidRDefault="0063113A"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The Preparation of the financial statements of the Firm/Trust/Society/Entity is in conformity with the Accounting Standards and Indian GAAP may require the management to use judgements, estimates and assumptions in the presentation of the values of various assets and liabilities.</w:t>
      </w:r>
    </w:p>
    <w:p w14:paraId="4F5A3166"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6C3E310E" w14:textId="480D3320" w:rsidR="008D25DB" w:rsidRPr="001C5966" w:rsidRDefault="0063113A" w:rsidP="001C5966">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Such estimates and assumptions are based on management's evaluation of the relevant facts and circumstances as on the date of the Financial Statements. The actual outcome may vary from such estimates. Estimates and assumptions are reviewed on a periodic basis. Revisions to accounting estimates are recognized in the period in which the estimates are revised and in any future periods affected.</w:t>
      </w:r>
    </w:p>
    <w:p w14:paraId="252577BE" w14:textId="77777777" w:rsidR="0034551F" w:rsidRPr="00DE7B24" w:rsidRDefault="0034551F" w:rsidP="00DE7B24">
      <w:pPr>
        <w:pStyle w:val="ListParagraph"/>
        <w:jc w:val="both"/>
        <w:rPr>
          <w:rFonts w:ascii="Book Antiqua" w:hAnsi="Book Antiqua" w:cs="Poppins"/>
          <w:sz w:val="22"/>
          <w:szCs w:val="22"/>
          <w:shd w:val="clear" w:color="auto" w:fill="FFFFFF"/>
        </w:rPr>
      </w:pPr>
    </w:p>
    <w:p w14:paraId="5567A790" w14:textId="77777777" w:rsidR="0063113A" w:rsidRPr="00DE7B24" w:rsidRDefault="00BC5EDB"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Fixed Assets and Depreciation </w:t>
      </w:r>
    </w:p>
    <w:p w14:paraId="011B5FF3" w14:textId="77777777" w:rsidR="0063113A" w:rsidRPr="00DE7B24" w:rsidRDefault="0063113A" w:rsidP="00DE7B24">
      <w:pPr>
        <w:pStyle w:val="ListParagraph"/>
        <w:jc w:val="both"/>
        <w:rPr>
          <w:rFonts w:ascii="Book Antiqua" w:hAnsi="Book Antiqua" w:cs="Poppins"/>
          <w:sz w:val="22"/>
          <w:szCs w:val="22"/>
          <w:shd w:val="clear" w:color="auto" w:fill="FFFFFF"/>
        </w:rPr>
      </w:pPr>
    </w:p>
    <w:p w14:paraId="18E1BFF3" w14:textId="48C334A5" w:rsidR="0034551F" w:rsidRDefault="0034551F" w:rsidP="00DE7B24">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The </w:t>
      </w:r>
      <w:r w:rsidRPr="0034551F">
        <w:rPr>
          <w:rFonts w:ascii="Book Antiqua" w:hAnsi="Book Antiqua" w:cs="Poppins"/>
          <w:sz w:val="22"/>
          <w:szCs w:val="22"/>
          <w:shd w:val="clear" w:color="auto" w:fill="FFFFFF"/>
        </w:rPr>
        <w:t xml:space="preserve">Fixed Assets are </w:t>
      </w:r>
      <w:r>
        <w:rPr>
          <w:rFonts w:ascii="Book Antiqua" w:hAnsi="Book Antiqua" w:cs="Poppins"/>
          <w:sz w:val="22"/>
          <w:szCs w:val="22"/>
          <w:shd w:val="clear" w:color="auto" w:fill="FFFFFF"/>
        </w:rPr>
        <w:t>recognised</w:t>
      </w:r>
      <w:r w:rsidRPr="0034551F">
        <w:rPr>
          <w:rFonts w:ascii="Book Antiqua" w:hAnsi="Book Antiqua" w:cs="Poppins"/>
          <w:sz w:val="22"/>
          <w:szCs w:val="22"/>
          <w:shd w:val="clear" w:color="auto" w:fill="FFFFFF"/>
        </w:rPr>
        <w:t xml:space="preserve"> at their original cost (including expenses related to acquisition and installation) less depreciation. Cost comprises of the purchase price and cost attributable to bringing the asset to its working condition for its intended use.</w:t>
      </w:r>
    </w:p>
    <w:p w14:paraId="7985E9CF" w14:textId="77777777" w:rsidR="0034551F" w:rsidRDefault="0034551F" w:rsidP="00DE7B24">
      <w:pPr>
        <w:pStyle w:val="ListParagraph"/>
        <w:jc w:val="both"/>
        <w:rPr>
          <w:rFonts w:ascii="Book Antiqua" w:hAnsi="Book Antiqua" w:cs="Poppins"/>
          <w:sz w:val="22"/>
          <w:szCs w:val="22"/>
          <w:shd w:val="clear" w:color="auto" w:fill="FFFFFF"/>
        </w:rPr>
      </w:pPr>
    </w:p>
    <w:p w14:paraId="0D8F6151" w14:textId="278D79C9" w:rsidR="004B3FFA" w:rsidRDefault="00BC5EDB"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The fixed assets are stated at written down value (WDV) as per records available. Depreciation is provided on the WDV method in accordance with the rates prescribed under the Income Tax Act, 1961. </w:t>
      </w:r>
    </w:p>
    <w:p w14:paraId="5805B6DD" w14:textId="77777777" w:rsidR="00041C83" w:rsidRDefault="00041C83" w:rsidP="00DE7B24">
      <w:pPr>
        <w:pStyle w:val="ListParagraph"/>
        <w:jc w:val="both"/>
        <w:rPr>
          <w:rFonts w:ascii="Book Antiqua" w:hAnsi="Book Antiqua" w:cs="Poppins"/>
          <w:sz w:val="22"/>
          <w:szCs w:val="22"/>
          <w:shd w:val="clear" w:color="auto" w:fill="FFFFFF"/>
        </w:rPr>
      </w:pPr>
    </w:p>
    <w:p w14:paraId="669C38BD" w14:textId="61496A0D" w:rsidR="008D25DB" w:rsidRDefault="008D25DB" w:rsidP="00DE7B24">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(if the entity does not hold any Fixed assets, this section may be skipped)</w:t>
      </w:r>
    </w:p>
    <w:p w14:paraId="44D08656" w14:textId="77777777" w:rsidR="008D25DB" w:rsidRDefault="008D25DB" w:rsidP="00DE7B24">
      <w:pPr>
        <w:pStyle w:val="ListParagraph"/>
        <w:jc w:val="both"/>
        <w:rPr>
          <w:rFonts w:ascii="Book Antiqua" w:hAnsi="Book Antiqua" w:cs="Poppins"/>
          <w:sz w:val="22"/>
          <w:szCs w:val="22"/>
          <w:shd w:val="clear" w:color="auto" w:fill="FFFFFF"/>
        </w:rPr>
      </w:pPr>
    </w:p>
    <w:p w14:paraId="5F42900B" w14:textId="36A50A5B" w:rsidR="00DC2E81" w:rsidRDefault="00DC2E81" w:rsidP="00DE7B24">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Expenses for Construction</w:t>
      </w:r>
    </w:p>
    <w:p w14:paraId="6B88743B" w14:textId="77777777" w:rsidR="001C5966" w:rsidRPr="001C5966" w:rsidRDefault="001C5966" w:rsidP="001C5966">
      <w:pPr>
        <w:pStyle w:val="ListParagraph"/>
        <w:jc w:val="both"/>
        <w:rPr>
          <w:rFonts w:ascii="Book Antiqua" w:hAnsi="Book Antiqua" w:cs="Poppins"/>
          <w:sz w:val="22"/>
          <w:szCs w:val="22"/>
          <w:shd w:val="clear" w:color="auto" w:fill="FFFFFF"/>
        </w:rPr>
      </w:pPr>
    </w:p>
    <w:p w14:paraId="0B7D4855" w14:textId="7282A262" w:rsidR="009764AA" w:rsidRPr="009764AA" w:rsidRDefault="009764AA" w:rsidP="009764AA">
      <w:pPr>
        <w:pStyle w:val="ListParagraph"/>
        <w:jc w:val="both"/>
        <w:rPr>
          <w:rFonts w:ascii="Book Antiqua" w:hAnsi="Book Antiqua" w:cs="Poppins"/>
          <w:sz w:val="22"/>
          <w:szCs w:val="22"/>
          <w:shd w:val="clear" w:color="auto" w:fill="FFFFFF"/>
        </w:rPr>
      </w:pPr>
      <w:r w:rsidRPr="009764AA">
        <w:rPr>
          <w:rFonts w:ascii="Book Antiqua" w:hAnsi="Book Antiqua" w:cs="Poppins"/>
          <w:sz w:val="22"/>
          <w:szCs w:val="22"/>
          <w:shd w:val="clear" w:color="auto" w:fill="FFFFFF"/>
        </w:rPr>
        <w:t>(</w:t>
      </w:r>
      <w:r>
        <w:rPr>
          <w:rFonts w:ascii="Book Antiqua" w:hAnsi="Book Antiqua" w:cs="Poppins"/>
          <w:sz w:val="22"/>
          <w:szCs w:val="22"/>
          <w:shd w:val="clear" w:color="auto" w:fill="FFFFFF"/>
        </w:rPr>
        <w:t>To be u</w:t>
      </w:r>
      <w:r w:rsidRPr="009764AA">
        <w:rPr>
          <w:rFonts w:ascii="Book Antiqua" w:hAnsi="Book Antiqua" w:cs="Poppins"/>
          <w:sz w:val="22"/>
          <w:szCs w:val="22"/>
          <w:shd w:val="clear" w:color="auto" w:fill="FFFFFF"/>
        </w:rPr>
        <w:t>se</w:t>
      </w:r>
      <w:r>
        <w:rPr>
          <w:rFonts w:ascii="Book Antiqua" w:hAnsi="Book Antiqua" w:cs="Poppins"/>
          <w:sz w:val="22"/>
          <w:szCs w:val="22"/>
          <w:shd w:val="clear" w:color="auto" w:fill="FFFFFF"/>
        </w:rPr>
        <w:t>d</w:t>
      </w:r>
      <w:r w:rsidRPr="009764AA">
        <w:rPr>
          <w:rFonts w:ascii="Book Antiqua" w:hAnsi="Book Antiqua" w:cs="Poppins"/>
          <w:sz w:val="22"/>
          <w:szCs w:val="22"/>
          <w:shd w:val="clear" w:color="auto" w:fill="FFFFFF"/>
        </w:rPr>
        <w:t xml:space="preserve"> only if applicable to the entity’s operations</w:t>
      </w:r>
      <w:r>
        <w:rPr>
          <w:rFonts w:ascii="Book Antiqua" w:hAnsi="Book Antiqua" w:cs="Poppins"/>
          <w:sz w:val="22"/>
          <w:szCs w:val="22"/>
          <w:shd w:val="clear" w:color="auto" w:fill="FFFFFF"/>
        </w:rPr>
        <w:t xml:space="preserve"> i.e. entities involved in construction business</w:t>
      </w:r>
      <w:r w:rsidRPr="009764AA">
        <w:rPr>
          <w:rFonts w:ascii="Book Antiqua" w:hAnsi="Book Antiqua" w:cs="Poppins"/>
          <w:sz w:val="22"/>
          <w:szCs w:val="22"/>
          <w:shd w:val="clear" w:color="auto" w:fill="FFFFFF"/>
        </w:rPr>
        <w:t>; otherwise, this section can be omitted.)</w:t>
      </w:r>
    </w:p>
    <w:p w14:paraId="604C9C79" w14:textId="77777777" w:rsidR="009764AA" w:rsidRPr="009764AA" w:rsidRDefault="009764AA" w:rsidP="009764AA">
      <w:pPr>
        <w:pStyle w:val="ListParagraph"/>
        <w:jc w:val="both"/>
        <w:rPr>
          <w:rFonts w:ascii="Book Antiqua" w:hAnsi="Book Antiqua" w:cs="Poppins"/>
          <w:sz w:val="22"/>
          <w:szCs w:val="22"/>
          <w:shd w:val="clear" w:color="auto" w:fill="FFFFFF"/>
        </w:rPr>
      </w:pPr>
      <w:r w:rsidRPr="009764AA">
        <w:rPr>
          <w:rFonts w:ascii="Book Antiqua" w:hAnsi="Book Antiqua" w:cs="Poppins"/>
          <w:sz w:val="22"/>
          <w:szCs w:val="22"/>
          <w:shd w:val="clear" w:color="auto" w:fill="FFFFFF"/>
        </w:rPr>
        <w:t>Expenses directly attributable to construction activities undertaken by the entity are classified under ‘Expenses for Construction’ and include costs such as site preparation, materials, labour charges, supervision costs and any overheads directly linked to the construction activity. These expenses are recognized based on the stage of completion and are capitalized as part of the completed asset upon commissioning.</w:t>
      </w:r>
    </w:p>
    <w:p w14:paraId="3D05EFC9" w14:textId="43E1A950" w:rsidR="001C5966" w:rsidRPr="001C5966" w:rsidRDefault="001C5966" w:rsidP="001C5966">
      <w:pPr>
        <w:pStyle w:val="ListParagraph"/>
        <w:jc w:val="both"/>
        <w:rPr>
          <w:rFonts w:ascii="Book Antiqua" w:hAnsi="Book Antiqua" w:cs="Poppins"/>
          <w:sz w:val="22"/>
          <w:szCs w:val="22"/>
          <w:shd w:val="clear" w:color="auto" w:fill="FFFFFF"/>
        </w:rPr>
      </w:pPr>
    </w:p>
    <w:p w14:paraId="15BA8B6C" w14:textId="3D6F226D" w:rsidR="00DC2E81" w:rsidRDefault="00DC2E81" w:rsidP="00DE7B24">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Foreign Exchange Translation</w:t>
      </w:r>
    </w:p>
    <w:p w14:paraId="21321ADE" w14:textId="77777777" w:rsidR="00DD4830" w:rsidRPr="00DD4830" w:rsidRDefault="00DD4830" w:rsidP="00DD4830">
      <w:pPr>
        <w:pStyle w:val="ListParagraph"/>
        <w:jc w:val="both"/>
        <w:rPr>
          <w:rFonts w:ascii="Book Antiqua" w:hAnsi="Book Antiqua" w:cs="Poppins"/>
          <w:sz w:val="22"/>
          <w:szCs w:val="22"/>
          <w:shd w:val="clear" w:color="auto" w:fill="FFFFFF"/>
        </w:rPr>
      </w:pPr>
    </w:p>
    <w:p w14:paraId="453EEFB4" w14:textId="18B33E41" w:rsidR="00DD4830" w:rsidRDefault="00DD4830" w:rsidP="00DD4830">
      <w:pPr>
        <w:pStyle w:val="ListParagraph"/>
        <w:jc w:val="both"/>
        <w:rPr>
          <w:rFonts w:ascii="Book Antiqua" w:hAnsi="Book Antiqua" w:cs="Poppins"/>
          <w:sz w:val="22"/>
          <w:szCs w:val="22"/>
          <w:shd w:val="clear" w:color="auto" w:fill="FFFFFF"/>
        </w:rPr>
      </w:pPr>
      <w:r w:rsidRPr="00DD4830">
        <w:rPr>
          <w:rFonts w:ascii="Book Antiqua" w:hAnsi="Book Antiqua" w:cs="Poppins"/>
          <w:sz w:val="22"/>
          <w:szCs w:val="22"/>
          <w:shd w:val="clear" w:color="auto" w:fill="FFFFFF"/>
        </w:rPr>
        <w:t>Foreign currency transactions are recorded in the reporting currency by applying to the foreign currency amount the exchange rate between the reporting currency and the foreign currency at the date of the transaction</w:t>
      </w:r>
      <w:r>
        <w:rPr>
          <w:rFonts w:ascii="Book Antiqua" w:hAnsi="Book Antiqua" w:cs="Poppins"/>
          <w:sz w:val="22"/>
          <w:szCs w:val="22"/>
          <w:shd w:val="clear" w:color="auto" w:fill="FFFFFF"/>
        </w:rPr>
        <w:t>.</w:t>
      </w:r>
    </w:p>
    <w:p w14:paraId="44A6E632" w14:textId="77777777" w:rsidR="00DD4830" w:rsidRDefault="00DD4830" w:rsidP="00DD4830">
      <w:pPr>
        <w:pStyle w:val="ListParagraph"/>
        <w:jc w:val="both"/>
        <w:rPr>
          <w:rFonts w:ascii="Book Antiqua" w:hAnsi="Book Antiqua" w:cs="Poppins"/>
          <w:sz w:val="22"/>
          <w:szCs w:val="22"/>
          <w:shd w:val="clear" w:color="auto" w:fill="FFFFFF"/>
        </w:rPr>
      </w:pPr>
    </w:p>
    <w:p w14:paraId="31702DFB" w14:textId="3B6ED095" w:rsidR="00DD4830" w:rsidRPr="00DD4830" w:rsidRDefault="00DD4830" w:rsidP="00DD4830">
      <w:pPr>
        <w:pStyle w:val="ListParagraph"/>
        <w:jc w:val="both"/>
        <w:rPr>
          <w:rFonts w:ascii="Book Antiqua" w:hAnsi="Book Antiqua" w:cs="Poppins"/>
          <w:sz w:val="22"/>
          <w:szCs w:val="22"/>
          <w:shd w:val="clear" w:color="auto" w:fill="FFFFFF"/>
        </w:rPr>
      </w:pPr>
      <w:r w:rsidRPr="00DD4830">
        <w:rPr>
          <w:rFonts w:ascii="Book Antiqua" w:hAnsi="Book Antiqua" w:cs="Poppins"/>
          <w:sz w:val="22"/>
          <w:szCs w:val="22"/>
          <w:shd w:val="clear" w:color="auto" w:fill="FFFFFF"/>
        </w:rPr>
        <w:t>Foreign currency monetary items are retranslated using the exchange rate prevailing at the reporting date. Non-monetary items which are measured in terms of historical cost denominated in a foreign currency are reported using the exchange rate at the date of the transaction.</w:t>
      </w:r>
    </w:p>
    <w:p w14:paraId="0A5C98D9" w14:textId="77777777" w:rsidR="00DD4830" w:rsidRDefault="00DD4830" w:rsidP="00DD4830">
      <w:pPr>
        <w:pStyle w:val="ListParagraph"/>
        <w:jc w:val="both"/>
        <w:rPr>
          <w:rFonts w:ascii="Book Antiqua" w:hAnsi="Book Antiqua" w:cs="Poppins"/>
          <w:b/>
          <w:bCs/>
          <w:sz w:val="22"/>
          <w:szCs w:val="22"/>
          <w:shd w:val="clear" w:color="auto" w:fill="FFFFFF"/>
        </w:rPr>
      </w:pPr>
    </w:p>
    <w:p w14:paraId="4980A5E0" w14:textId="007C6907" w:rsidR="00DC2E81" w:rsidRDefault="00DC2E81" w:rsidP="00DE7B24">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Inventories</w:t>
      </w:r>
      <w:r w:rsidR="00DD4830">
        <w:rPr>
          <w:rFonts w:ascii="Book Antiqua" w:hAnsi="Book Antiqua" w:cs="Poppins"/>
          <w:b/>
          <w:bCs/>
          <w:sz w:val="22"/>
          <w:szCs w:val="22"/>
          <w:shd w:val="clear" w:color="auto" w:fill="FFFFFF"/>
        </w:rPr>
        <w:t xml:space="preserve"> (Stock-in-Trade)</w:t>
      </w:r>
    </w:p>
    <w:p w14:paraId="08A38651" w14:textId="77777777" w:rsidR="00DD4830" w:rsidRDefault="00DD4830" w:rsidP="00DD4830">
      <w:pPr>
        <w:pStyle w:val="ListParagraph"/>
        <w:jc w:val="both"/>
        <w:rPr>
          <w:rFonts w:ascii="Book Antiqua" w:hAnsi="Book Antiqua" w:cs="Poppins"/>
          <w:b/>
          <w:bCs/>
          <w:sz w:val="22"/>
          <w:szCs w:val="22"/>
          <w:shd w:val="clear" w:color="auto" w:fill="FFFFFF"/>
        </w:rPr>
      </w:pPr>
    </w:p>
    <w:p w14:paraId="46B2E133" w14:textId="77777777" w:rsidR="00DD4830" w:rsidRDefault="00DD4830" w:rsidP="00DD4830">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Proper and updated quantitative records of inventory are not maintained. The stock has been valued and certified by the management based on estimated realizable values. No independent verification of inventory valuation has been carried out. </w:t>
      </w:r>
    </w:p>
    <w:p w14:paraId="57763DB0" w14:textId="77777777" w:rsidR="00DD4830" w:rsidRDefault="00DD4830" w:rsidP="00DD4830">
      <w:pPr>
        <w:pStyle w:val="ListParagraph"/>
        <w:jc w:val="both"/>
        <w:rPr>
          <w:rFonts w:ascii="Book Antiqua" w:hAnsi="Book Antiqua" w:cs="Poppins"/>
          <w:sz w:val="22"/>
          <w:szCs w:val="22"/>
          <w:shd w:val="clear" w:color="auto" w:fill="FFFFFF"/>
        </w:rPr>
      </w:pPr>
    </w:p>
    <w:p w14:paraId="1F8AA0BF" w14:textId="6E2972CF" w:rsidR="00DD4830" w:rsidRDefault="00DD4830" w:rsidP="00DD4830">
      <w:pPr>
        <w:pStyle w:val="ListParagraph"/>
        <w:jc w:val="both"/>
        <w:rPr>
          <w:rFonts w:ascii="Book Antiqua" w:hAnsi="Book Antiqua" w:cs="Poppins"/>
          <w:b/>
          <w:bCs/>
          <w:sz w:val="22"/>
          <w:szCs w:val="22"/>
          <w:shd w:val="clear" w:color="auto" w:fill="FFFFFF"/>
        </w:rPr>
      </w:pPr>
      <w:r>
        <w:rPr>
          <w:rFonts w:ascii="Book Antiqua" w:hAnsi="Book Antiqua" w:cs="Poppins"/>
          <w:sz w:val="22"/>
          <w:szCs w:val="22"/>
          <w:shd w:val="clear" w:color="auto" w:fill="FFFFFF"/>
        </w:rPr>
        <w:t>Stock in Trade is valued under FIFO basis and is reported at lower of cost or net realizable value.</w:t>
      </w:r>
    </w:p>
    <w:p w14:paraId="1AEC3093" w14:textId="77777777" w:rsidR="00DD4830" w:rsidRDefault="00DD4830" w:rsidP="00DD4830">
      <w:pPr>
        <w:pStyle w:val="ListParagraph"/>
        <w:jc w:val="both"/>
        <w:rPr>
          <w:rFonts w:ascii="Book Antiqua" w:hAnsi="Book Antiqua" w:cs="Poppins"/>
          <w:b/>
          <w:bCs/>
          <w:sz w:val="22"/>
          <w:szCs w:val="22"/>
          <w:shd w:val="clear" w:color="auto" w:fill="FFFFFF"/>
        </w:rPr>
      </w:pPr>
    </w:p>
    <w:p w14:paraId="0B2F9E84" w14:textId="561B21AF" w:rsidR="00DC2E81" w:rsidRDefault="00DC2E81" w:rsidP="00DE7B24">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Goodwill</w:t>
      </w:r>
    </w:p>
    <w:p w14:paraId="76370E48" w14:textId="77777777" w:rsidR="001C5966" w:rsidRPr="001C5966" w:rsidRDefault="001C5966" w:rsidP="001C5966">
      <w:pPr>
        <w:pStyle w:val="ListParagraph"/>
        <w:jc w:val="both"/>
        <w:rPr>
          <w:rFonts w:ascii="Book Antiqua" w:hAnsi="Book Antiqua" w:cs="Poppins"/>
          <w:sz w:val="22"/>
          <w:szCs w:val="22"/>
          <w:shd w:val="clear" w:color="auto" w:fill="FFFFFF"/>
        </w:rPr>
      </w:pPr>
    </w:p>
    <w:p w14:paraId="130CAD5D" w14:textId="77777777" w:rsidR="005957DB" w:rsidRPr="005957DB" w:rsidRDefault="005957DB" w:rsidP="005957DB">
      <w:pPr>
        <w:pStyle w:val="ListParagraph"/>
        <w:jc w:val="both"/>
        <w:rPr>
          <w:rFonts w:ascii="Book Antiqua" w:hAnsi="Book Antiqua" w:cs="Poppins"/>
          <w:sz w:val="22"/>
          <w:szCs w:val="22"/>
          <w:shd w:val="clear" w:color="auto" w:fill="FFFFFF"/>
        </w:rPr>
      </w:pPr>
      <w:r w:rsidRPr="005957DB">
        <w:rPr>
          <w:rFonts w:ascii="Book Antiqua" w:hAnsi="Book Antiqua" w:cs="Poppins"/>
          <w:sz w:val="22"/>
          <w:szCs w:val="22"/>
          <w:shd w:val="clear" w:color="auto" w:fill="FFFFFF"/>
        </w:rPr>
        <w:t>(Use this if the entity has acquired goodwill through acquisition of a business or reconstitution.)</w:t>
      </w:r>
    </w:p>
    <w:p w14:paraId="3D45342C" w14:textId="77777777" w:rsidR="005957DB" w:rsidRDefault="005957DB" w:rsidP="005957DB">
      <w:pPr>
        <w:pStyle w:val="ListParagraph"/>
        <w:jc w:val="both"/>
        <w:rPr>
          <w:rFonts w:ascii="Book Antiqua" w:hAnsi="Book Antiqua" w:cs="Poppins"/>
          <w:sz w:val="22"/>
          <w:szCs w:val="22"/>
          <w:shd w:val="clear" w:color="auto" w:fill="FFFFFF"/>
        </w:rPr>
      </w:pPr>
    </w:p>
    <w:p w14:paraId="686386F9" w14:textId="3519E3CE" w:rsidR="005957DB" w:rsidRPr="005957DB" w:rsidRDefault="005957DB" w:rsidP="005957DB">
      <w:pPr>
        <w:pStyle w:val="ListParagraph"/>
        <w:jc w:val="both"/>
        <w:rPr>
          <w:rFonts w:ascii="Book Antiqua" w:hAnsi="Book Antiqua" w:cs="Poppins"/>
          <w:sz w:val="22"/>
          <w:szCs w:val="22"/>
          <w:shd w:val="clear" w:color="auto" w:fill="FFFFFF"/>
        </w:rPr>
      </w:pPr>
      <w:r w:rsidRPr="005957DB">
        <w:rPr>
          <w:rFonts w:ascii="Book Antiqua" w:hAnsi="Book Antiqua" w:cs="Poppins"/>
          <w:sz w:val="22"/>
          <w:szCs w:val="22"/>
          <w:shd w:val="clear" w:color="auto" w:fill="FFFFFF"/>
        </w:rPr>
        <w:t xml:space="preserve">Goodwill, if any, is recognized only when paid for and arises upon the acquisition of a business. It represents the excess of purchase consideration over the fair value of net identifiable assets acquired. Goodwill is carried at cost less any accumulated impairment losses. The carrying amount of goodwill is reviewed for impairment whenever events or changes in circumstances indicate that </w:t>
      </w:r>
      <w:proofErr w:type="gramStart"/>
      <w:r w:rsidRPr="005957DB">
        <w:rPr>
          <w:rFonts w:ascii="Book Antiqua" w:hAnsi="Book Antiqua" w:cs="Poppins"/>
          <w:sz w:val="22"/>
          <w:szCs w:val="22"/>
          <w:shd w:val="clear" w:color="auto" w:fill="FFFFFF"/>
        </w:rPr>
        <w:t>its</w:t>
      </w:r>
      <w:proofErr w:type="gramEnd"/>
      <w:r w:rsidRPr="005957DB">
        <w:rPr>
          <w:rFonts w:ascii="Book Antiqua" w:hAnsi="Book Antiqua" w:cs="Poppins"/>
          <w:sz w:val="22"/>
          <w:szCs w:val="22"/>
          <w:shd w:val="clear" w:color="auto" w:fill="FFFFFF"/>
        </w:rPr>
        <w:t xml:space="preserve"> carrying value may not be recoverable.</w:t>
      </w:r>
    </w:p>
    <w:p w14:paraId="50ED8625" w14:textId="77777777" w:rsidR="005957DB" w:rsidRDefault="005957DB" w:rsidP="005957DB">
      <w:pPr>
        <w:pStyle w:val="ListParagraph"/>
        <w:jc w:val="both"/>
        <w:rPr>
          <w:rFonts w:ascii="Book Antiqua" w:hAnsi="Book Antiqua" w:cs="Poppins"/>
          <w:sz w:val="22"/>
          <w:szCs w:val="22"/>
          <w:shd w:val="clear" w:color="auto" w:fill="FFFFFF"/>
        </w:rPr>
      </w:pPr>
    </w:p>
    <w:p w14:paraId="4D3DF585" w14:textId="38D67445" w:rsidR="005957DB" w:rsidRPr="005957DB" w:rsidRDefault="005957DB" w:rsidP="005957DB">
      <w:pPr>
        <w:pStyle w:val="ListParagraph"/>
        <w:jc w:val="both"/>
        <w:rPr>
          <w:rFonts w:ascii="Book Antiqua" w:hAnsi="Book Antiqua" w:cs="Poppins"/>
          <w:sz w:val="22"/>
          <w:szCs w:val="22"/>
          <w:shd w:val="clear" w:color="auto" w:fill="FFFFFF"/>
        </w:rPr>
      </w:pPr>
      <w:r w:rsidRPr="005957DB">
        <w:rPr>
          <w:rFonts w:ascii="Book Antiqua" w:hAnsi="Book Antiqua" w:cs="Poppins"/>
          <w:sz w:val="22"/>
          <w:szCs w:val="22"/>
          <w:shd w:val="clear" w:color="auto" w:fill="FFFFFF"/>
        </w:rPr>
        <w:t xml:space="preserve">(If no goodwill exists, add: </w:t>
      </w:r>
      <w:r w:rsidRPr="005957DB">
        <w:rPr>
          <w:rFonts w:ascii="Book Antiqua" w:hAnsi="Book Antiqua" w:cs="Poppins"/>
          <w:i/>
          <w:iCs/>
          <w:sz w:val="22"/>
          <w:szCs w:val="22"/>
          <w:shd w:val="clear" w:color="auto" w:fill="FFFFFF"/>
        </w:rPr>
        <w:t>"The Firm/Trust/Society/Entity does not carry any goodwill in its books during the year under review."</w:t>
      </w:r>
      <w:r w:rsidRPr="005957DB">
        <w:rPr>
          <w:rFonts w:ascii="Book Antiqua" w:hAnsi="Book Antiqua" w:cs="Poppins"/>
          <w:sz w:val="22"/>
          <w:szCs w:val="22"/>
          <w:shd w:val="clear" w:color="auto" w:fill="FFFFFF"/>
        </w:rPr>
        <w:t>)</w:t>
      </w:r>
      <w:r>
        <w:rPr>
          <w:rFonts w:ascii="Book Antiqua" w:hAnsi="Book Antiqua" w:cs="Poppins"/>
          <w:sz w:val="22"/>
          <w:szCs w:val="22"/>
          <w:shd w:val="clear" w:color="auto" w:fill="FFFFFF"/>
        </w:rPr>
        <w:t>/skip this section</w:t>
      </w:r>
    </w:p>
    <w:p w14:paraId="03E529B0" w14:textId="77777777" w:rsidR="001C5966" w:rsidRPr="001C5966" w:rsidRDefault="001C5966" w:rsidP="001C5966">
      <w:pPr>
        <w:pStyle w:val="ListParagraph"/>
        <w:jc w:val="both"/>
        <w:rPr>
          <w:rFonts w:ascii="Book Antiqua" w:hAnsi="Book Antiqua" w:cs="Poppins"/>
          <w:sz w:val="22"/>
          <w:szCs w:val="22"/>
          <w:shd w:val="clear" w:color="auto" w:fill="FFFFFF"/>
        </w:rPr>
      </w:pPr>
    </w:p>
    <w:p w14:paraId="73D3ED98" w14:textId="27CCC890" w:rsidR="0063113A" w:rsidRPr="00DE7B24" w:rsidRDefault="00BC5EDB"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Investments </w:t>
      </w:r>
    </w:p>
    <w:p w14:paraId="695F8C92" w14:textId="77777777" w:rsidR="00E4063A" w:rsidRDefault="00E4063A" w:rsidP="00DE7B24">
      <w:pPr>
        <w:pStyle w:val="ListParagraph"/>
        <w:jc w:val="both"/>
        <w:rPr>
          <w:rFonts w:ascii="Book Antiqua" w:hAnsi="Book Antiqua" w:cs="Poppins"/>
          <w:sz w:val="22"/>
          <w:szCs w:val="22"/>
          <w:shd w:val="clear" w:color="auto" w:fill="FFFFFF"/>
        </w:rPr>
      </w:pPr>
    </w:p>
    <w:p w14:paraId="282533B9" w14:textId="5C2DF010" w:rsidR="0063113A" w:rsidRPr="004B3FFA" w:rsidRDefault="004B3FFA" w:rsidP="00DE7B24">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(When there are no Investments)</w:t>
      </w:r>
    </w:p>
    <w:p w14:paraId="1C7EECF6" w14:textId="0777FA8F" w:rsidR="0063113A" w:rsidRDefault="00BC5EDB"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The </w:t>
      </w:r>
      <w:r w:rsidR="00041C83" w:rsidRPr="00DE7B24">
        <w:rPr>
          <w:rFonts w:ascii="Book Antiqua" w:hAnsi="Book Antiqua" w:cs="Poppins"/>
          <w:sz w:val="22"/>
          <w:szCs w:val="22"/>
          <w:shd w:val="clear" w:color="auto" w:fill="FFFFFF"/>
        </w:rPr>
        <w:t>Firm/Trust/Society/Entity</w:t>
      </w:r>
      <w:r w:rsidRPr="00DE7B24">
        <w:rPr>
          <w:rFonts w:ascii="Book Antiqua" w:hAnsi="Book Antiqua" w:cs="Poppins"/>
          <w:sz w:val="22"/>
          <w:szCs w:val="22"/>
          <w:shd w:val="clear" w:color="auto" w:fill="FFFFFF"/>
        </w:rPr>
        <w:t xml:space="preserve"> has not made any investments during the financial </w:t>
      </w:r>
      <w:proofErr w:type="gramStart"/>
      <w:r w:rsidRPr="00DE7B24">
        <w:rPr>
          <w:rFonts w:ascii="Book Antiqua" w:hAnsi="Book Antiqua" w:cs="Poppins"/>
          <w:sz w:val="22"/>
          <w:szCs w:val="22"/>
          <w:shd w:val="clear" w:color="auto" w:fill="FFFFFF"/>
        </w:rPr>
        <w:t>year</w:t>
      </w:r>
      <w:proofErr w:type="gramEnd"/>
      <w:r w:rsidR="00041C83">
        <w:rPr>
          <w:rFonts w:ascii="Book Antiqua" w:hAnsi="Book Antiqua" w:cs="Poppins"/>
          <w:sz w:val="22"/>
          <w:szCs w:val="22"/>
          <w:shd w:val="clear" w:color="auto" w:fill="FFFFFF"/>
        </w:rPr>
        <w:t xml:space="preserve"> nor does it hold any investment for the period dealt with by these financial statements</w:t>
      </w:r>
      <w:r w:rsidRPr="00DE7B24">
        <w:rPr>
          <w:rFonts w:ascii="Book Antiqua" w:hAnsi="Book Antiqua" w:cs="Poppins"/>
          <w:sz w:val="22"/>
          <w:szCs w:val="22"/>
          <w:shd w:val="clear" w:color="auto" w:fill="FFFFFF"/>
        </w:rPr>
        <w:t>.</w:t>
      </w:r>
    </w:p>
    <w:p w14:paraId="45C8FBDF" w14:textId="77777777" w:rsidR="004B3FFA" w:rsidRDefault="004B3FFA" w:rsidP="00DE7B24">
      <w:pPr>
        <w:pStyle w:val="ListParagraph"/>
        <w:jc w:val="both"/>
        <w:rPr>
          <w:rFonts w:ascii="Book Antiqua" w:hAnsi="Book Antiqua" w:cs="Poppins"/>
          <w:sz w:val="22"/>
          <w:szCs w:val="22"/>
          <w:shd w:val="clear" w:color="auto" w:fill="FFFFFF"/>
        </w:rPr>
      </w:pPr>
    </w:p>
    <w:p w14:paraId="47A980F7" w14:textId="545ADB39" w:rsidR="004B3FFA" w:rsidRDefault="004B3FFA" w:rsidP="00DE7B24">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(When the entity </w:t>
      </w:r>
      <w:proofErr w:type="gramStart"/>
      <w:r>
        <w:rPr>
          <w:rFonts w:ascii="Book Antiqua" w:hAnsi="Book Antiqua" w:cs="Poppins"/>
          <w:sz w:val="22"/>
          <w:szCs w:val="22"/>
          <w:shd w:val="clear" w:color="auto" w:fill="FFFFFF"/>
        </w:rPr>
        <w:t>hold</w:t>
      </w:r>
      <w:proofErr w:type="gramEnd"/>
      <w:r>
        <w:rPr>
          <w:rFonts w:ascii="Book Antiqua" w:hAnsi="Book Antiqua" w:cs="Poppins"/>
          <w:sz w:val="22"/>
          <w:szCs w:val="22"/>
          <w:shd w:val="clear" w:color="auto" w:fill="FFFFFF"/>
        </w:rPr>
        <w:t xml:space="preserve"> investments)</w:t>
      </w:r>
    </w:p>
    <w:p w14:paraId="51D85E23" w14:textId="5B2B7BE3" w:rsidR="004B3FFA" w:rsidRPr="004B3FFA" w:rsidRDefault="004B3FFA" w:rsidP="00DE7B24">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Any investment held by the Firm/Trust/Society/Entity for trade or with the intention of sale within a period of twelve months is classified as current investment and any investment which is not a current investment is classified as a long-term investment.</w:t>
      </w:r>
    </w:p>
    <w:p w14:paraId="6447D808" w14:textId="77777777" w:rsidR="004B3FFA" w:rsidRPr="004B3FFA" w:rsidRDefault="004B3FFA" w:rsidP="00DE7B24">
      <w:pPr>
        <w:pStyle w:val="ListParagraph"/>
        <w:jc w:val="both"/>
        <w:rPr>
          <w:rFonts w:ascii="Book Antiqua" w:hAnsi="Book Antiqua" w:cs="Poppins"/>
          <w:sz w:val="22"/>
          <w:szCs w:val="22"/>
          <w:shd w:val="clear" w:color="auto" w:fill="FFFFFF"/>
        </w:rPr>
      </w:pPr>
    </w:p>
    <w:p w14:paraId="76E622C9" w14:textId="02F5383C" w:rsidR="004B3FFA" w:rsidRPr="004B3FFA" w:rsidRDefault="004B3FFA" w:rsidP="00DE7B24">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Investments classified as current investments are carried in the financial statements at the lower of cost and fair value determined either on an individual investment basis or by category of investment.</w:t>
      </w:r>
    </w:p>
    <w:p w14:paraId="50B201FF" w14:textId="77777777" w:rsidR="004B3FFA" w:rsidRPr="004B3FFA" w:rsidRDefault="004B3FFA" w:rsidP="00DE7B24">
      <w:pPr>
        <w:pStyle w:val="ListParagraph"/>
        <w:jc w:val="both"/>
        <w:rPr>
          <w:rFonts w:ascii="Book Antiqua" w:hAnsi="Book Antiqua" w:cs="Poppins"/>
          <w:sz w:val="22"/>
          <w:szCs w:val="22"/>
          <w:shd w:val="clear" w:color="auto" w:fill="FFFFFF"/>
        </w:rPr>
      </w:pPr>
    </w:p>
    <w:p w14:paraId="19B36EA7" w14:textId="381957A9" w:rsidR="004B3FFA" w:rsidRPr="004B3FFA" w:rsidRDefault="004B3FFA" w:rsidP="00DE7B24">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Investments classified as long term investments are carried in the financial statements at cost. However, provision for diminution shall be made to recognise a decline, other than temporary, in the value of the investments, such reduction being determined and made for each investment individually.</w:t>
      </w:r>
    </w:p>
    <w:p w14:paraId="4C387DAD" w14:textId="77777777" w:rsidR="004B3FFA" w:rsidRPr="004B3FFA" w:rsidRDefault="004B3FFA" w:rsidP="00DE7B24">
      <w:pPr>
        <w:pStyle w:val="ListParagraph"/>
        <w:jc w:val="both"/>
        <w:rPr>
          <w:rFonts w:ascii="Book Antiqua" w:hAnsi="Book Antiqua" w:cs="Poppins"/>
          <w:sz w:val="22"/>
          <w:szCs w:val="22"/>
          <w:shd w:val="clear" w:color="auto" w:fill="FFFFFF"/>
        </w:rPr>
      </w:pPr>
    </w:p>
    <w:p w14:paraId="7E4621EB" w14:textId="325B9B80" w:rsidR="004B3FFA" w:rsidRPr="00E4063A" w:rsidRDefault="004B3FFA" w:rsidP="00E4063A">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The cost of an investment includes acquisition charges including but not limited to brokerage, fees and duties</w:t>
      </w:r>
    </w:p>
    <w:p w14:paraId="0420BA9F" w14:textId="77777777" w:rsidR="00E4063A" w:rsidRDefault="00E4063A" w:rsidP="00DE7B24">
      <w:pPr>
        <w:pStyle w:val="ListParagraph"/>
        <w:jc w:val="both"/>
        <w:rPr>
          <w:rFonts w:ascii="Book Antiqua" w:hAnsi="Book Antiqua" w:cs="Poppins"/>
          <w:sz w:val="22"/>
          <w:szCs w:val="22"/>
          <w:shd w:val="clear" w:color="auto" w:fill="FFFFFF"/>
        </w:rPr>
      </w:pPr>
    </w:p>
    <w:p w14:paraId="6D3D0FCB" w14:textId="08C5B04E" w:rsidR="004B3FFA" w:rsidRDefault="004B3FFA" w:rsidP="00DE7B24">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There are no specific restrictions on the right of ownership, realisability of the investments or the remittance of income and proc</w:t>
      </w:r>
      <w:r w:rsidR="009764AA">
        <w:rPr>
          <w:rFonts w:ascii="Book Antiqua" w:hAnsi="Book Antiqua" w:cs="Poppins"/>
          <w:sz w:val="22"/>
          <w:szCs w:val="22"/>
          <w:shd w:val="clear" w:color="auto" w:fill="FFFFFF"/>
        </w:rPr>
        <w:t>e</w:t>
      </w:r>
      <w:r w:rsidRPr="004B3FFA">
        <w:rPr>
          <w:rFonts w:ascii="Book Antiqua" w:hAnsi="Book Antiqua" w:cs="Poppins"/>
          <w:sz w:val="22"/>
          <w:szCs w:val="22"/>
          <w:shd w:val="clear" w:color="auto" w:fill="FFFFFF"/>
        </w:rPr>
        <w:t>eds of disposal of the investments as on the reporting date</w:t>
      </w:r>
    </w:p>
    <w:p w14:paraId="6D3AF069" w14:textId="77777777" w:rsidR="007118D3" w:rsidRDefault="007118D3" w:rsidP="00DE7B24">
      <w:pPr>
        <w:pStyle w:val="ListParagraph"/>
        <w:jc w:val="both"/>
        <w:rPr>
          <w:rFonts w:ascii="Book Antiqua" w:hAnsi="Book Antiqua" w:cs="Poppins"/>
          <w:sz w:val="22"/>
          <w:szCs w:val="22"/>
          <w:shd w:val="clear" w:color="auto" w:fill="FFFFFF"/>
        </w:rPr>
      </w:pPr>
    </w:p>
    <w:p w14:paraId="758C80CA" w14:textId="3763081C" w:rsidR="004B3FFA" w:rsidRDefault="004B3FFA" w:rsidP="00DE7B24">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 xml:space="preserve">No investments have been revalued during the period under review and no provision for </w:t>
      </w:r>
      <w:proofErr w:type="spellStart"/>
      <w:r w:rsidRPr="004B3FFA">
        <w:rPr>
          <w:rFonts w:ascii="Book Antiqua" w:hAnsi="Book Antiqua" w:cs="Poppins"/>
          <w:sz w:val="22"/>
          <w:szCs w:val="22"/>
          <w:shd w:val="clear" w:color="auto" w:fill="FFFFFF"/>
        </w:rPr>
        <w:t>dimunition</w:t>
      </w:r>
      <w:proofErr w:type="spellEnd"/>
      <w:r w:rsidRPr="004B3FFA">
        <w:rPr>
          <w:rFonts w:ascii="Book Antiqua" w:hAnsi="Book Antiqua" w:cs="Poppins"/>
          <w:sz w:val="22"/>
          <w:szCs w:val="22"/>
          <w:shd w:val="clear" w:color="auto" w:fill="FFFFFF"/>
        </w:rPr>
        <w:t xml:space="preserve"> in value of the investments has been recognised during the period under review.</w:t>
      </w:r>
    </w:p>
    <w:p w14:paraId="71BB119D" w14:textId="77777777" w:rsidR="004B3FFA" w:rsidRPr="00DE7B24" w:rsidRDefault="004B3FFA" w:rsidP="00DE7B24">
      <w:pPr>
        <w:pStyle w:val="ListParagraph"/>
        <w:jc w:val="both"/>
        <w:rPr>
          <w:rFonts w:ascii="Book Antiqua" w:hAnsi="Book Antiqua" w:cs="Poppins"/>
          <w:sz w:val="22"/>
          <w:szCs w:val="22"/>
          <w:shd w:val="clear" w:color="auto" w:fill="FFFFFF"/>
        </w:rPr>
      </w:pPr>
    </w:p>
    <w:p w14:paraId="06A245FE" w14:textId="00C908FC" w:rsidR="00DC2E81" w:rsidRDefault="00DC2E81" w:rsidP="00DE7B24">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Retirement Benefits</w:t>
      </w:r>
    </w:p>
    <w:p w14:paraId="20B7F569" w14:textId="77777777" w:rsidR="009764AA" w:rsidRDefault="009764AA" w:rsidP="009764AA">
      <w:pPr>
        <w:pStyle w:val="ListParagraph"/>
        <w:jc w:val="both"/>
        <w:rPr>
          <w:rFonts w:ascii="Book Antiqua" w:hAnsi="Book Antiqua" w:cs="Poppins"/>
          <w:b/>
          <w:bCs/>
          <w:sz w:val="22"/>
          <w:szCs w:val="22"/>
          <w:shd w:val="clear" w:color="auto" w:fill="FFFFFF"/>
        </w:rPr>
      </w:pPr>
    </w:p>
    <w:p w14:paraId="005A700E" w14:textId="7CD45729" w:rsidR="009764AA" w:rsidRPr="009764AA" w:rsidRDefault="009764AA" w:rsidP="009764AA">
      <w:pPr>
        <w:pStyle w:val="ListParagraph"/>
        <w:jc w:val="both"/>
        <w:rPr>
          <w:rFonts w:ascii="Book Antiqua" w:hAnsi="Book Antiqua" w:cs="Poppins"/>
          <w:sz w:val="22"/>
          <w:szCs w:val="22"/>
          <w:shd w:val="clear" w:color="auto" w:fill="FFFFFF"/>
        </w:rPr>
      </w:pPr>
      <w:r w:rsidRPr="009764AA">
        <w:rPr>
          <w:rFonts w:ascii="Book Antiqua" w:hAnsi="Book Antiqua" w:cs="Poppins"/>
          <w:sz w:val="22"/>
          <w:szCs w:val="22"/>
          <w:shd w:val="clear" w:color="auto" w:fill="FFFFFF"/>
        </w:rPr>
        <w:t>(Where the entity does not have a formal retirement scheme)</w:t>
      </w:r>
    </w:p>
    <w:p w14:paraId="21E119D1" w14:textId="77777777" w:rsidR="009764AA" w:rsidRPr="009764AA" w:rsidRDefault="009764AA" w:rsidP="009764AA">
      <w:pPr>
        <w:pStyle w:val="ListParagraph"/>
        <w:jc w:val="both"/>
        <w:rPr>
          <w:rFonts w:ascii="Book Antiqua" w:hAnsi="Book Antiqua" w:cs="Poppins"/>
          <w:sz w:val="22"/>
          <w:szCs w:val="22"/>
          <w:shd w:val="clear" w:color="auto" w:fill="FFFFFF"/>
        </w:rPr>
      </w:pPr>
      <w:r w:rsidRPr="009764AA">
        <w:rPr>
          <w:rFonts w:ascii="Book Antiqua" w:hAnsi="Book Antiqua" w:cs="Poppins"/>
          <w:sz w:val="22"/>
          <w:szCs w:val="22"/>
          <w:shd w:val="clear" w:color="auto" w:fill="FFFFFF"/>
        </w:rPr>
        <w:t>No provision is made for retirement benefits in the books of accounts as the entity has no formal obligation towards gratuity, provident fund or other retirement benefits as per applicable laws. Payments, if any, are accounted for on a cash basis.</w:t>
      </w:r>
    </w:p>
    <w:p w14:paraId="7EE0F702" w14:textId="55FF9087" w:rsidR="009764AA" w:rsidRDefault="00A5606B" w:rsidP="009764AA">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O</w:t>
      </w:r>
      <w:r w:rsidR="009764AA">
        <w:rPr>
          <w:rFonts w:ascii="Book Antiqua" w:hAnsi="Book Antiqua" w:cs="Poppins"/>
          <w:sz w:val="22"/>
          <w:szCs w:val="22"/>
          <w:shd w:val="clear" w:color="auto" w:fill="FFFFFF"/>
        </w:rPr>
        <w:t>r</w:t>
      </w:r>
    </w:p>
    <w:p w14:paraId="13523010" w14:textId="09422754" w:rsidR="00A5606B" w:rsidRDefault="00A5606B" w:rsidP="009764AA">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lastRenderedPageBreak/>
        <w:t>The</w:t>
      </w:r>
      <w:r w:rsidRPr="00A5606B">
        <w:rPr>
          <w:rFonts w:ascii="Book Antiqua" w:hAnsi="Book Antiqua" w:cs="Poppins"/>
          <w:sz w:val="22"/>
          <w:szCs w:val="22"/>
          <w:shd w:val="clear" w:color="auto" w:fill="FFFFFF"/>
        </w:rPr>
        <w:t xml:space="preserve"> average number of persons employed during the year is less than 50</w:t>
      </w:r>
      <w:r>
        <w:rPr>
          <w:rFonts w:ascii="Book Antiqua" w:hAnsi="Book Antiqua" w:cs="Poppins"/>
          <w:sz w:val="22"/>
          <w:szCs w:val="22"/>
          <w:shd w:val="clear" w:color="auto" w:fill="FFFFFF"/>
        </w:rPr>
        <w:t xml:space="preserve"> and </w:t>
      </w:r>
      <w:proofErr w:type="gramStart"/>
      <w:r>
        <w:rPr>
          <w:rFonts w:ascii="Book Antiqua" w:hAnsi="Book Antiqua" w:cs="Poppins"/>
          <w:sz w:val="22"/>
          <w:szCs w:val="22"/>
          <w:shd w:val="clear" w:color="auto" w:fill="FFFFFF"/>
        </w:rPr>
        <w:t xml:space="preserve">hence </w:t>
      </w:r>
      <w:r w:rsidRPr="00A5606B">
        <w:rPr>
          <w:rFonts w:ascii="Book Antiqua" w:hAnsi="Book Antiqua" w:cs="Poppins"/>
          <w:sz w:val="22"/>
          <w:szCs w:val="22"/>
          <w:shd w:val="clear" w:color="auto" w:fill="FFFFFF"/>
        </w:rPr>
        <w:t xml:space="preserve"> the</w:t>
      </w:r>
      <w:proofErr w:type="gramEnd"/>
      <w:r w:rsidRPr="00A5606B">
        <w:rPr>
          <w:rFonts w:ascii="Book Antiqua" w:hAnsi="Book Antiqua" w:cs="Poppins"/>
          <w:sz w:val="22"/>
          <w:szCs w:val="22"/>
          <w:shd w:val="clear" w:color="auto" w:fill="FFFFFF"/>
        </w:rPr>
        <w:t xml:space="preserve"> recognition and measurement principles </w:t>
      </w:r>
      <w:r>
        <w:rPr>
          <w:rFonts w:ascii="Book Antiqua" w:hAnsi="Book Antiqua" w:cs="Poppins"/>
          <w:sz w:val="22"/>
          <w:szCs w:val="22"/>
          <w:shd w:val="clear" w:color="auto" w:fill="FFFFFF"/>
        </w:rPr>
        <w:t>as per AS 15 are not applicable</w:t>
      </w:r>
      <w:r w:rsidRPr="00A5606B">
        <w:rPr>
          <w:rFonts w:ascii="Book Antiqua" w:hAnsi="Book Antiqua" w:cs="Poppins"/>
          <w:sz w:val="22"/>
          <w:szCs w:val="22"/>
          <w:shd w:val="clear" w:color="auto" w:fill="FFFFFF"/>
        </w:rPr>
        <w:t>. However, the accrued liability under the defined benefit plans</w:t>
      </w:r>
      <w:r>
        <w:rPr>
          <w:rFonts w:ascii="Book Antiqua" w:hAnsi="Book Antiqua" w:cs="Poppins"/>
          <w:sz w:val="22"/>
          <w:szCs w:val="22"/>
          <w:shd w:val="clear" w:color="auto" w:fill="FFFFFF"/>
        </w:rPr>
        <w:t xml:space="preserve"> is calculated based on </w:t>
      </w:r>
      <w:r w:rsidRPr="00A5606B">
        <w:rPr>
          <w:rFonts w:ascii="Book Antiqua" w:hAnsi="Book Antiqua" w:cs="Poppins"/>
          <w:sz w:val="22"/>
          <w:szCs w:val="22"/>
          <w:shd w:val="clear" w:color="auto" w:fill="FFFFFF"/>
        </w:rPr>
        <w:t>the assumption that such benefits are payable to all employees at the end of the accounting year.</w:t>
      </w:r>
    </w:p>
    <w:p w14:paraId="66FA1CB4" w14:textId="4C0FD0E0" w:rsidR="00A5606B" w:rsidRDefault="00A5606B" w:rsidP="009764AA">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or</w:t>
      </w:r>
    </w:p>
    <w:p w14:paraId="53A82A35" w14:textId="46FD4F88" w:rsidR="009764AA" w:rsidRPr="009764AA" w:rsidRDefault="009764AA" w:rsidP="009764AA">
      <w:pPr>
        <w:pStyle w:val="ListParagraph"/>
        <w:jc w:val="both"/>
        <w:rPr>
          <w:rFonts w:ascii="Book Antiqua" w:hAnsi="Book Antiqua" w:cs="Poppins"/>
          <w:sz w:val="22"/>
          <w:szCs w:val="22"/>
          <w:shd w:val="clear" w:color="auto" w:fill="FFFFFF"/>
        </w:rPr>
      </w:pPr>
      <w:r w:rsidRPr="009764AA">
        <w:rPr>
          <w:rFonts w:ascii="Book Antiqua" w:hAnsi="Book Antiqua" w:cs="Poppins"/>
          <w:sz w:val="22"/>
          <w:szCs w:val="22"/>
          <w:shd w:val="clear" w:color="auto" w:fill="FFFFFF"/>
        </w:rPr>
        <w:t xml:space="preserve">(Alternate: </w:t>
      </w:r>
      <w:r w:rsidRPr="009764AA">
        <w:rPr>
          <w:rFonts w:ascii="Book Antiqua" w:hAnsi="Book Antiqua" w:cs="Poppins"/>
          <w:i/>
          <w:iCs/>
          <w:sz w:val="22"/>
          <w:szCs w:val="22"/>
          <w:shd w:val="clear" w:color="auto" w:fill="FFFFFF"/>
        </w:rPr>
        <w:t>“The entity does not have any employees who are eligible for retirement benefits under any applicable statutory scheme.”</w:t>
      </w:r>
      <w:r w:rsidRPr="009764AA">
        <w:rPr>
          <w:rFonts w:ascii="Book Antiqua" w:hAnsi="Book Antiqua" w:cs="Poppins"/>
          <w:sz w:val="22"/>
          <w:szCs w:val="22"/>
          <w:shd w:val="clear" w:color="auto" w:fill="FFFFFF"/>
        </w:rPr>
        <w:t>)</w:t>
      </w:r>
    </w:p>
    <w:p w14:paraId="44E49C5E" w14:textId="77777777" w:rsidR="009764AA" w:rsidRDefault="009764AA" w:rsidP="009764AA">
      <w:pPr>
        <w:pStyle w:val="ListParagraph"/>
        <w:jc w:val="both"/>
        <w:rPr>
          <w:rFonts w:ascii="Book Antiqua" w:hAnsi="Book Antiqua" w:cs="Poppins"/>
          <w:sz w:val="22"/>
          <w:szCs w:val="22"/>
          <w:shd w:val="clear" w:color="auto" w:fill="FFFFFF"/>
        </w:rPr>
      </w:pPr>
    </w:p>
    <w:p w14:paraId="05508655" w14:textId="039D4606" w:rsidR="009764AA" w:rsidRDefault="009764AA" w:rsidP="009764AA">
      <w:pPr>
        <w:pStyle w:val="ListParagraph"/>
        <w:jc w:val="both"/>
        <w:rPr>
          <w:rFonts w:ascii="Book Antiqua" w:hAnsi="Book Antiqua" w:cs="Poppins"/>
          <w:sz w:val="22"/>
          <w:szCs w:val="22"/>
          <w:shd w:val="clear" w:color="auto" w:fill="FFFFFF"/>
        </w:rPr>
      </w:pPr>
      <w:r w:rsidRPr="009764AA">
        <w:rPr>
          <w:rFonts w:ascii="Book Antiqua" w:hAnsi="Book Antiqua" w:cs="Poppins"/>
          <w:sz w:val="22"/>
          <w:szCs w:val="22"/>
          <w:shd w:val="clear" w:color="auto" w:fill="FFFFFF"/>
        </w:rPr>
        <w:t xml:space="preserve">(Where the entity </w:t>
      </w:r>
      <w:r>
        <w:rPr>
          <w:rFonts w:ascii="Book Antiqua" w:hAnsi="Book Antiqua" w:cs="Poppins"/>
          <w:sz w:val="22"/>
          <w:szCs w:val="22"/>
          <w:shd w:val="clear" w:color="auto" w:fill="FFFFFF"/>
        </w:rPr>
        <w:t>has</w:t>
      </w:r>
      <w:r w:rsidRPr="009764AA">
        <w:rPr>
          <w:rFonts w:ascii="Book Antiqua" w:hAnsi="Book Antiqua" w:cs="Poppins"/>
          <w:sz w:val="22"/>
          <w:szCs w:val="22"/>
          <w:shd w:val="clear" w:color="auto" w:fill="FFFFFF"/>
        </w:rPr>
        <w:t xml:space="preserve"> a formal retirement scheme)</w:t>
      </w:r>
    </w:p>
    <w:p w14:paraId="202D52C2" w14:textId="77777777" w:rsidR="009764AA" w:rsidRDefault="009764AA" w:rsidP="009764AA">
      <w:pPr>
        <w:pStyle w:val="ListParagraph"/>
        <w:jc w:val="both"/>
        <w:rPr>
          <w:rFonts w:ascii="Book Antiqua" w:hAnsi="Book Antiqua" w:cs="Poppins"/>
          <w:sz w:val="22"/>
          <w:szCs w:val="22"/>
          <w:shd w:val="clear" w:color="auto" w:fill="FFFFFF"/>
        </w:rPr>
      </w:pPr>
    </w:p>
    <w:p w14:paraId="16A6B3B1" w14:textId="795156D2" w:rsidR="009764AA" w:rsidRPr="009764AA" w:rsidRDefault="009764AA" w:rsidP="009764AA">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Details of the defined benefit obligations maybe furnished</w:t>
      </w:r>
    </w:p>
    <w:p w14:paraId="7A571D81" w14:textId="77777777" w:rsidR="009764AA" w:rsidRDefault="009764AA" w:rsidP="009764AA">
      <w:pPr>
        <w:pStyle w:val="ListParagraph"/>
        <w:jc w:val="both"/>
        <w:rPr>
          <w:rFonts w:ascii="Book Antiqua" w:hAnsi="Book Antiqua" w:cs="Poppins"/>
          <w:b/>
          <w:bCs/>
          <w:sz w:val="22"/>
          <w:szCs w:val="22"/>
          <w:shd w:val="clear" w:color="auto" w:fill="FFFFFF"/>
        </w:rPr>
      </w:pPr>
    </w:p>
    <w:p w14:paraId="49F23E4F" w14:textId="333F8206" w:rsidR="008B4C5F" w:rsidRDefault="008B4C5F" w:rsidP="00DE7B24">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Cash and Cash Equivalents</w:t>
      </w:r>
    </w:p>
    <w:p w14:paraId="1743C4EA" w14:textId="77777777" w:rsidR="008B4C5F" w:rsidRDefault="008B4C5F" w:rsidP="008B4C5F">
      <w:pPr>
        <w:pStyle w:val="ListParagraph"/>
        <w:jc w:val="both"/>
        <w:rPr>
          <w:rFonts w:ascii="Book Antiqua" w:hAnsi="Book Antiqua" w:cs="Poppins"/>
          <w:b/>
          <w:bCs/>
          <w:sz w:val="22"/>
          <w:szCs w:val="22"/>
          <w:shd w:val="clear" w:color="auto" w:fill="FFFFFF"/>
        </w:rPr>
      </w:pPr>
    </w:p>
    <w:p w14:paraId="1B749378" w14:textId="5E5C2D09" w:rsidR="008B4C5F" w:rsidRPr="008B4C5F" w:rsidRDefault="008B4C5F" w:rsidP="008B4C5F">
      <w:pPr>
        <w:pStyle w:val="ListParagraph"/>
        <w:jc w:val="both"/>
        <w:rPr>
          <w:rFonts w:ascii="Book Antiqua" w:hAnsi="Book Antiqua" w:cs="Poppins"/>
          <w:sz w:val="22"/>
          <w:szCs w:val="22"/>
          <w:shd w:val="clear" w:color="auto" w:fill="FFFFFF"/>
        </w:rPr>
      </w:pPr>
      <w:r w:rsidRPr="008B4C5F">
        <w:rPr>
          <w:rFonts w:ascii="Book Antiqua" w:hAnsi="Book Antiqua" w:cs="Poppins"/>
          <w:sz w:val="22"/>
          <w:szCs w:val="22"/>
          <w:shd w:val="clear" w:color="auto" w:fill="FFFFFF"/>
        </w:rPr>
        <w:t>The entity considers all highly liquid financial instruments, which are readily convertible into known amount</w:t>
      </w:r>
      <w:r>
        <w:rPr>
          <w:rFonts w:ascii="Book Antiqua" w:hAnsi="Book Antiqua" w:cs="Poppins"/>
          <w:sz w:val="22"/>
          <w:szCs w:val="22"/>
          <w:shd w:val="clear" w:color="auto" w:fill="FFFFFF"/>
        </w:rPr>
        <w:t xml:space="preserve"> </w:t>
      </w:r>
      <w:r w:rsidRPr="008B4C5F">
        <w:rPr>
          <w:rFonts w:ascii="Book Antiqua" w:hAnsi="Book Antiqua" w:cs="Poppins"/>
          <w:sz w:val="22"/>
          <w:szCs w:val="22"/>
          <w:shd w:val="clear" w:color="auto" w:fill="FFFFFF"/>
        </w:rPr>
        <w:t>of cash that are subject to an insignificant risk of change in value and having original maturities of three</w:t>
      </w:r>
      <w:r>
        <w:rPr>
          <w:rFonts w:ascii="Book Antiqua" w:hAnsi="Book Antiqua" w:cs="Poppins"/>
          <w:sz w:val="22"/>
          <w:szCs w:val="22"/>
          <w:shd w:val="clear" w:color="auto" w:fill="FFFFFF"/>
        </w:rPr>
        <w:t xml:space="preserve"> </w:t>
      </w:r>
      <w:r w:rsidRPr="008B4C5F">
        <w:rPr>
          <w:rFonts w:ascii="Book Antiqua" w:hAnsi="Book Antiqua" w:cs="Poppins"/>
          <w:sz w:val="22"/>
          <w:szCs w:val="22"/>
          <w:shd w:val="clear" w:color="auto" w:fill="FFFFFF"/>
        </w:rPr>
        <w:t>months or less from the date of purchase, to be cash equivalents.</w:t>
      </w:r>
    </w:p>
    <w:p w14:paraId="52EF37A9" w14:textId="77777777" w:rsidR="008B4C5F" w:rsidRDefault="008B4C5F" w:rsidP="008B4C5F">
      <w:pPr>
        <w:pStyle w:val="ListParagraph"/>
        <w:jc w:val="both"/>
        <w:rPr>
          <w:rFonts w:ascii="Book Antiqua" w:hAnsi="Book Antiqua" w:cs="Poppins"/>
          <w:b/>
          <w:bCs/>
          <w:sz w:val="22"/>
          <w:szCs w:val="22"/>
          <w:shd w:val="clear" w:color="auto" w:fill="FFFFFF"/>
        </w:rPr>
      </w:pPr>
    </w:p>
    <w:p w14:paraId="7BC64F99" w14:textId="5F187FF8" w:rsidR="00DC2E81" w:rsidRDefault="00DC2E81" w:rsidP="00DE7B24">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Long Term Contracts</w:t>
      </w:r>
    </w:p>
    <w:p w14:paraId="7136D1B8" w14:textId="77777777" w:rsidR="008B4C5F" w:rsidRDefault="008B4C5F" w:rsidP="009764AA">
      <w:pPr>
        <w:pStyle w:val="ListParagraph"/>
        <w:jc w:val="both"/>
        <w:rPr>
          <w:rFonts w:ascii="Book Antiqua" w:hAnsi="Book Antiqua" w:cs="Poppins"/>
          <w:sz w:val="22"/>
          <w:szCs w:val="22"/>
          <w:shd w:val="clear" w:color="auto" w:fill="FFFFFF"/>
        </w:rPr>
      </w:pPr>
    </w:p>
    <w:p w14:paraId="381AAEB1" w14:textId="2A7BFA1C" w:rsidR="009764AA" w:rsidRPr="009764AA" w:rsidRDefault="009764AA" w:rsidP="009764AA">
      <w:pPr>
        <w:pStyle w:val="ListParagraph"/>
        <w:jc w:val="both"/>
        <w:rPr>
          <w:rFonts w:ascii="Book Antiqua" w:hAnsi="Book Antiqua" w:cs="Poppins"/>
          <w:sz w:val="22"/>
          <w:szCs w:val="22"/>
          <w:shd w:val="clear" w:color="auto" w:fill="FFFFFF"/>
        </w:rPr>
      </w:pPr>
      <w:r w:rsidRPr="009764AA">
        <w:rPr>
          <w:rFonts w:ascii="Book Antiqua" w:hAnsi="Book Antiqua" w:cs="Poppins"/>
          <w:sz w:val="22"/>
          <w:szCs w:val="22"/>
          <w:shd w:val="clear" w:color="auto" w:fill="FFFFFF"/>
        </w:rPr>
        <w:t>(Include only if the entity is engaged in long-term contract work like construction, service projects, etc.)</w:t>
      </w:r>
    </w:p>
    <w:p w14:paraId="72AC81FB" w14:textId="77777777" w:rsidR="009764AA" w:rsidRPr="009764AA" w:rsidRDefault="009764AA" w:rsidP="009764AA">
      <w:pPr>
        <w:pStyle w:val="ListParagraph"/>
        <w:jc w:val="both"/>
        <w:rPr>
          <w:rFonts w:ascii="Book Antiqua" w:hAnsi="Book Antiqua" w:cs="Poppins"/>
          <w:sz w:val="22"/>
          <w:szCs w:val="22"/>
          <w:shd w:val="clear" w:color="auto" w:fill="FFFFFF"/>
        </w:rPr>
      </w:pPr>
    </w:p>
    <w:p w14:paraId="4DF6567C" w14:textId="30164447" w:rsidR="0063113A" w:rsidRDefault="009764AA" w:rsidP="009764AA">
      <w:pPr>
        <w:pStyle w:val="ListParagraph"/>
        <w:jc w:val="both"/>
        <w:rPr>
          <w:rFonts w:ascii="Book Antiqua" w:hAnsi="Book Antiqua" w:cs="Poppins"/>
          <w:sz w:val="22"/>
          <w:szCs w:val="22"/>
          <w:shd w:val="clear" w:color="auto" w:fill="FFFFFF"/>
        </w:rPr>
      </w:pPr>
      <w:r w:rsidRPr="009764AA">
        <w:rPr>
          <w:rFonts w:ascii="Book Antiqua" w:hAnsi="Book Antiqua" w:cs="Poppins"/>
          <w:sz w:val="22"/>
          <w:szCs w:val="22"/>
          <w:shd w:val="clear" w:color="auto" w:fill="FFFFFF"/>
        </w:rPr>
        <w:t xml:space="preserve">Revenue from long-term contracts is recognized </w:t>
      </w:r>
      <w:proofErr w:type="gramStart"/>
      <w:r w:rsidRPr="009764AA">
        <w:rPr>
          <w:rFonts w:ascii="Book Antiqua" w:hAnsi="Book Antiqua" w:cs="Poppins"/>
          <w:sz w:val="22"/>
          <w:szCs w:val="22"/>
          <w:shd w:val="clear" w:color="auto" w:fill="FFFFFF"/>
        </w:rPr>
        <w:t>on the basis of</w:t>
      </w:r>
      <w:proofErr w:type="gramEnd"/>
      <w:r w:rsidRPr="009764AA">
        <w:rPr>
          <w:rFonts w:ascii="Book Antiqua" w:hAnsi="Book Antiqua" w:cs="Poppins"/>
          <w:sz w:val="22"/>
          <w:szCs w:val="22"/>
          <w:shd w:val="clear" w:color="auto" w:fill="FFFFFF"/>
        </w:rPr>
        <w:t xml:space="preserve"> Percentage of Completion Method (POCM). The stage of completion is determined with reference to the proportion of costs incurred up to the reporting date to the total estimated costs of the contract. Expected losses, if any, are recognized immediately in the Statement of Profit and Loss.</w:t>
      </w:r>
    </w:p>
    <w:p w14:paraId="6608134A" w14:textId="77777777" w:rsidR="009764AA" w:rsidRPr="00DE7B24" w:rsidRDefault="009764AA" w:rsidP="00DE7B24">
      <w:pPr>
        <w:pStyle w:val="ListParagraph"/>
        <w:jc w:val="both"/>
        <w:rPr>
          <w:rFonts w:ascii="Book Antiqua" w:hAnsi="Book Antiqua" w:cs="Poppins"/>
          <w:sz w:val="22"/>
          <w:szCs w:val="22"/>
          <w:shd w:val="clear" w:color="auto" w:fill="FFFFFF"/>
        </w:rPr>
      </w:pPr>
    </w:p>
    <w:p w14:paraId="720E1DF4" w14:textId="77777777" w:rsidR="00FD4CF5" w:rsidRDefault="00FD4CF5" w:rsidP="00FD4CF5">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Effects of Foreign Exchange Fluctuation</w:t>
      </w:r>
    </w:p>
    <w:p w14:paraId="1327A4F4" w14:textId="77777777" w:rsidR="00FD4CF5" w:rsidRDefault="00FD4CF5" w:rsidP="00FD4CF5">
      <w:pPr>
        <w:pStyle w:val="ListParagraph"/>
        <w:jc w:val="both"/>
        <w:rPr>
          <w:rFonts w:ascii="Book Antiqua" w:hAnsi="Book Antiqua" w:cs="Poppins"/>
          <w:sz w:val="22"/>
          <w:szCs w:val="22"/>
          <w:shd w:val="clear" w:color="auto" w:fill="FFFFFF"/>
        </w:rPr>
      </w:pPr>
    </w:p>
    <w:p w14:paraId="22A002C4" w14:textId="5755D70B" w:rsidR="00FD4CF5" w:rsidRPr="004B3FFA" w:rsidRDefault="00FD4CF5" w:rsidP="00FD4CF5">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(Applicable to all entities. Disclosure exemption is available for Level IV entities)</w:t>
      </w:r>
    </w:p>
    <w:p w14:paraId="6F96ED0C" w14:textId="77777777" w:rsidR="00FD4CF5" w:rsidRDefault="00FD4CF5" w:rsidP="00FD4CF5">
      <w:pPr>
        <w:pStyle w:val="ListParagraph"/>
        <w:jc w:val="both"/>
        <w:rPr>
          <w:rFonts w:ascii="Book Antiqua" w:hAnsi="Book Antiqua" w:cs="Poppins"/>
          <w:sz w:val="22"/>
          <w:szCs w:val="22"/>
          <w:shd w:val="clear" w:color="auto" w:fill="FFFFFF"/>
        </w:rPr>
      </w:pPr>
    </w:p>
    <w:p w14:paraId="0C10C904" w14:textId="77777777" w:rsidR="00FD4CF5" w:rsidRPr="004B3FFA" w:rsidRDefault="00FD4CF5" w:rsidP="00FD4CF5">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Transactions in foreign currencies are recorded at the exchange rates prevailing on the date of the transaction.  Exchange differences arising on foreign currency transactions settled during the year are recognised in the Profit and Loss Account.</w:t>
      </w:r>
    </w:p>
    <w:p w14:paraId="7AFC6867" w14:textId="77777777" w:rsidR="00FD4CF5" w:rsidRDefault="00FD4CF5" w:rsidP="00FD4CF5">
      <w:pPr>
        <w:pStyle w:val="ListParagraph"/>
        <w:jc w:val="both"/>
        <w:rPr>
          <w:rFonts w:ascii="Book Antiqua" w:hAnsi="Book Antiqua" w:cs="Poppins"/>
          <w:b/>
          <w:bCs/>
          <w:sz w:val="22"/>
          <w:szCs w:val="22"/>
          <w:shd w:val="clear" w:color="auto" w:fill="FFFFFF"/>
        </w:rPr>
      </w:pPr>
    </w:p>
    <w:p w14:paraId="403E4256" w14:textId="77777777" w:rsidR="00FD4CF5" w:rsidRDefault="00FD4CF5" w:rsidP="00FD4CF5">
      <w:pPr>
        <w:pStyle w:val="ListParagraph"/>
        <w:jc w:val="both"/>
        <w:rPr>
          <w:rFonts w:ascii="Book Antiqua" w:hAnsi="Book Antiqua" w:cs="Poppins"/>
          <w:sz w:val="22"/>
          <w:szCs w:val="22"/>
          <w:shd w:val="clear" w:color="auto" w:fill="FFFFFF"/>
        </w:rPr>
      </w:pPr>
      <w:r w:rsidRPr="007118D3">
        <w:rPr>
          <w:rFonts w:ascii="Book Antiqua" w:hAnsi="Book Antiqua" w:cs="Poppins"/>
          <w:sz w:val="22"/>
          <w:szCs w:val="22"/>
          <w:shd w:val="clear" w:color="auto" w:fill="FFFFFF"/>
        </w:rPr>
        <w:t>Exchange differences arising on account of foreign exchange transactions are recognised in the statement of profit and loss.</w:t>
      </w:r>
    </w:p>
    <w:p w14:paraId="2F83AE17" w14:textId="77777777" w:rsidR="00FD4CF5" w:rsidRDefault="00FD4CF5" w:rsidP="00FD4CF5">
      <w:pPr>
        <w:pStyle w:val="ListParagraph"/>
        <w:jc w:val="both"/>
        <w:rPr>
          <w:rFonts w:ascii="Book Antiqua" w:hAnsi="Book Antiqua" w:cs="Poppins"/>
          <w:sz w:val="22"/>
          <w:szCs w:val="22"/>
          <w:shd w:val="clear" w:color="auto" w:fill="FFFFFF"/>
        </w:rPr>
      </w:pPr>
    </w:p>
    <w:p w14:paraId="69BA81D1" w14:textId="77777777" w:rsidR="00FD4CF5" w:rsidRPr="00724B5F" w:rsidRDefault="00FD4CF5" w:rsidP="00FD4CF5">
      <w:pPr>
        <w:pStyle w:val="ListParagraph"/>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t xml:space="preserve">At </w:t>
      </w:r>
      <w:r>
        <w:rPr>
          <w:rFonts w:ascii="Book Antiqua" w:hAnsi="Book Antiqua" w:cs="Poppins"/>
          <w:sz w:val="22"/>
          <w:szCs w:val="22"/>
          <w:shd w:val="clear" w:color="auto" w:fill="FFFFFF"/>
        </w:rPr>
        <w:t>the reporting</w:t>
      </w:r>
      <w:r w:rsidRPr="00724B5F">
        <w:rPr>
          <w:rFonts w:ascii="Book Antiqua" w:hAnsi="Book Antiqua" w:cs="Poppins"/>
          <w:sz w:val="22"/>
          <w:szCs w:val="22"/>
          <w:shd w:val="clear" w:color="auto" w:fill="FFFFFF"/>
        </w:rPr>
        <w:t xml:space="preserve"> date:</w:t>
      </w:r>
    </w:p>
    <w:p w14:paraId="33132A7C" w14:textId="794F17FE" w:rsidR="00FD4CF5" w:rsidRPr="00724B5F" w:rsidRDefault="00FD4CF5" w:rsidP="00FD4CF5">
      <w:pPr>
        <w:pStyle w:val="ListParagraph"/>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lastRenderedPageBreak/>
        <w:t xml:space="preserve">(a) foreign currency monetary items </w:t>
      </w:r>
      <w:r>
        <w:rPr>
          <w:rFonts w:ascii="Book Antiqua" w:hAnsi="Book Antiqua" w:cs="Poppins"/>
          <w:sz w:val="22"/>
          <w:szCs w:val="22"/>
          <w:shd w:val="clear" w:color="auto" w:fill="FFFFFF"/>
        </w:rPr>
        <w:t>are</w:t>
      </w:r>
      <w:r w:rsidRPr="00724B5F">
        <w:rPr>
          <w:rFonts w:ascii="Book Antiqua" w:hAnsi="Book Antiqua" w:cs="Poppins"/>
          <w:sz w:val="22"/>
          <w:szCs w:val="22"/>
          <w:shd w:val="clear" w:color="auto" w:fill="FFFFFF"/>
        </w:rPr>
        <w:t xml:space="preserve"> reported using the closing rate. </w:t>
      </w:r>
      <w:r w:rsidR="007157DD">
        <w:rPr>
          <w:rFonts w:ascii="Book Antiqua" w:hAnsi="Book Antiqua" w:cs="Poppins"/>
          <w:sz w:val="22"/>
          <w:szCs w:val="22"/>
          <w:shd w:val="clear" w:color="auto" w:fill="FFFFFF"/>
        </w:rPr>
        <w:t>Where</w:t>
      </w:r>
      <w:r w:rsidRPr="00724B5F">
        <w:rPr>
          <w:rFonts w:ascii="Book Antiqua" w:hAnsi="Book Antiqua" w:cs="Poppins"/>
          <w:sz w:val="22"/>
          <w:szCs w:val="22"/>
          <w:shd w:val="clear" w:color="auto" w:fill="FFFFFF"/>
        </w:rPr>
        <w:t xml:space="preserve"> the closing rate may not reflect with reasonable accuracy the amount in reporting currency that is likely to be realised from, or required to disburse, a foreign currency monetary item at the balance sheet date, or where the closing rate is unrealistic and it is not possible to effect an exchange of currencies at that rate at the balance sheet date</w:t>
      </w:r>
      <w:r w:rsidR="007157DD">
        <w:rPr>
          <w:rFonts w:ascii="Book Antiqua" w:hAnsi="Book Antiqua" w:cs="Poppins"/>
          <w:sz w:val="22"/>
          <w:szCs w:val="22"/>
          <w:shd w:val="clear" w:color="auto" w:fill="FFFFFF"/>
        </w:rPr>
        <w:t>,</w:t>
      </w:r>
      <w:r w:rsidRPr="00724B5F">
        <w:rPr>
          <w:rFonts w:ascii="Book Antiqua" w:hAnsi="Book Antiqua" w:cs="Poppins"/>
          <w:sz w:val="22"/>
          <w:szCs w:val="22"/>
          <w:shd w:val="clear" w:color="auto" w:fill="FFFFFF"/>
        </w:rPr>
        <w:t xml:space="preserve"> the relevant monetary item </w:t>
      </w:r>
      <w:r>
        <w:rPr>
          <w:rFonts w:ascii="Book Antiqua" w:hAnsi="Book Antiqua" w:cs="Poppins"/>
          <w:sz w:val="22"/>
          <w:szCs w:val="22"/>
          <w:shd w:val="clear" w:color="auto" w:fill="FFFFFF"/>
        </w:rPr>
        <w:t>is</w:t>
      </w:r>
      <w:r w:rsidRPr="00724B5F">
        <w:rPr>
          <w:rFonts w:ascii="Book Antiqua" w:hAnsi="Book Antiqua" w:cs="Poppins"/>
          <w:sz w:val="22"/>
          <w:szCs w:val="22"/>
          <w:shd w:val="clear" w:color="auto" w:fill="FFFFFF"/>
        </w:rPr>
        <w:t xml:space="preserve"> reported in the reporting currency at the amount which is likely to be realised from, or required to disburse, such item at the balance sheet date;</w:t>
      </w:r>
    </w:p>
    <w:p w14:paraId="01519EAF" w14:textId="77777777" w:rsidR="00FD4CF5" w:rsidRPr="00724B5F" w:rsidRDefault="00FD4CF5" w:rsidP="00FD4CF5">
      <w:pPr>
        <w:pStyle w:val="ListParagraph"/>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t xml:space="preserve">(b) non-monetary items which are carried in terms of historical cost denominated in a foreign currency </w:t>
      </w:r>
      <w:r>
        <w:rPr>
          <w:rFonts w:ascii="Book Antiqua" w:hAnsi="Book Antiqua" w:cs="Poppins"/>
          <w:sz w:val="22"/>
          <w:szCs w:val="22"/>
          <w:shd w:val="clear" w:color="auto" w:fill="FFFFFF"/>
        </w:rPr>
        <w:t>are</w:t>
      </w:r>
      <w:r w:rsidRPr="00724B5F">
        <w:rPr>
          <w:rFonts w:ascii="Book Antiqua" w:hAnsi="Book Antiqua" w:cs="Poppins"/>
          <w:sz w:val="22"/>
          <w:szCs w:val="22"/>
          <w:shd w:val="clear" w:color="auto" w:fill="FFFFFF"/>
        </w:rPr>
        <w:t xml:space="preserve"> reported using the exchange rate at the date of the transaction; and</w:t>
      </w:r>
    </w:p>
    <w:p w14:paraId="33414590" w14:textId="77777777" w:rsidR="00FD4CF5" w:rsidRDefault="00FD4CF5" w:rsidP="00FD4CF5">
      <w:pPr>
        <w:pStyle w:val="ListParagraph"/>
        <w:jc w:val="both"/>
        <w:rPr>
          <w:rFonts w:ascii="Book Antiqua" w:hAnsi="Book Antiqua" w:cs="Poppins"/>
          <w:sz w:val="22"/>
          <w:szCs w:val="22"/>
          <w:shd w:val="clear" w:color="auto" w:fill="FFFFFF"/>
        </w:rPr>
      </w:pPr>
    </w:p>
    <w:p w14:paraId="7B9DDC01" w14:textId="6A1682AC" w:rsidR="00FD4CF5" w:rsidRDefault="00FD4CF5" w:rsidP="00FD4CF5">
      <w:pPr>
        <w:pStyle w:val="ListParagraph"/>
        <w:jc w:val="both"/>
        <w:rPr>
          <w:rFonts w:ascii="Book Antiqua" w:hAnsi="Book Antiqua" w:cs="Poppins"/>
          <w:b/>
          <w:bCs/>
          <w:sz w:val="22"/>
          <w:szCs w:val="22"/>
          <w:shd w:val="clear" w:color="auto" w:fill="FFFFFF"/>
        </w:rPr>
      </w:pPr>
      <w:r w:rsidRPr="00724B5F">
        <w:rPr>
          <w:rFonts w:ascii="Book Antiqua" w:hAnsi="Book Antiqua" w:cs="Poppins"/>
          <w:sz w:val="22"/>
          <w:szCs w:val="22"/>
          <w:shd w:val="clear" w:color="auto" w:fill="FFFFFF"/>
        </w:rPr>
        <w:t xml:space="preserve">(c) non-monetary items which are carried at fair value or other similar valuation denominated in a foreign currency </w:t>
      </w:r>
      <w:r>
        <w:rPr>
          <w:rFonts w:ascii="Book Antiqua" w:hAnsi="Book Antiqua" w:cs="Poppins"/>
          <w:sz w:val="22"/>
          <w:szCs w:val="22"/>
          <w:shd w:val="clear" w:color="auto" w:fill="FFFFFF"/>
        </w:rPr>
        <w:t>are</w:t>
      </w:r>
      <w:r w:rsidRPr="00724B5F">
        <w:rPr>
          <w:rFonts w:ascii="Book Antiqua" w:hAnsi="Book Antiqua" w:cs="Poppins"/>
          <w:sz w:val="22"/>
          <w:szCs w:val="22"/>
          <w:shd w:val="clear" w:color="auto" w:fill="FFFFFF"/>
        </w:rPr>
        <w:t xml:space="preserve"> reported using the exchange rates that existed when the values were determined.</w:t>
      </w:r>
    </w:p>
    <w:p w14:paraId="1F1DDA8B" w14:textId="77777777" w:rsidR="00FD4CF5" w:rsidRDefault="00FD4CF5" w:rsidP="00FD4CF5">
      <w:pPr>
        <w:pStyle w:val="ListParagraph"/>
        <w:jc w:val="both"/>
        <w:rPr>
          <w:rFonts w:ascii="Book Antiqua" w:hAnsi="Book Antiqua" w:cs="Poppins"/>
          <w:b/>
          <w:bCs/>
          <w:sz w:val="22"/>
          <w:szCs w:val="22"/>
          <w:shd w:val="clear" w:color="auto" w:fill="FFFFFF"/>
        </w:rPr>
      </w:pPr>
    </w:p>
    <w:p w14:paraId="0AC646CB" w14:textId="7C9FF242" w:rsidR="0063113A" w:rsidRPr="00DE7B24" w:rsidRDefault="00BC5EDB"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Contingent Liabilities </w:t>
      </w:r>
    </w:p>
    <w:p w14:paraId="73968966" w14:textId="77777777" w:rsidR="0063113A" w:rsidRDefault="0063113A" w:rsidP="00DE7B24">
      <w:pPr>
        <w:pStyle w:val="ListParagraph"/>
        <w:jc w:val="both"/>
        <w:rPr>
          <w:rFonts w:ascii="Book Antiqua" w:hAnsi="Book Antiqua" w:cs="Poppins"/>
          <w:sz w:val="22"/>
          <w:szCs w:val="22"/>
          <w:shd w:val="clear" w:color="auto" w:fill="FFFFFF"/>
        </w:rPr>
      </w:pPr>
    </w:p>
    <w:p w14:paraId="1FF1DD2C" w14:textId="59209606" w:rsidR="0063113A" w:rsidRPr="00490113" w:rsidRDefault="00DD4830" w:rsidP="00490113">
      <w:pPr>
        <w:pStyle w:val="ListParagraph"/>
        <w:jc w:val="both"/>
        <w:rPr>
          <w:rFonts w:ascii="Book Antiqua" w:hAnsi="Book Antiqua" w:cs="Poppins"/>
          <w:sz w:val="22"/>
          <w:szCs w:val="22"/>
          <w:shd w:val="clear" w:color="auto" w:fill="FFFFFF"/>
        </w:rPr>
      </w:pPr>
      <w:r w:rsidRPr="00DD4830">
        <w:rPr>
          <w:rFonts w:ascii="Book Antiqua" w:hAnsi="Book Antiqua" w:cs="Poppins"/>
          <w:sz w:val="22"/>
          <w:szCs w:val="22"/>
          <w:shd w:val="clear" w:color="auto" w:fill="FFFFFF"/>
        </w:rPr>
        <w:t xml:space="preserve">A contingent liability is a possible obligation that arises from past events whose existence will be confirmed by the occurrence or non-occurrence of one or more uncertain future events beyond the control of the company or a present obligation that is not recognized because it is not probable that an outflow of resources will be required to settle the obligation. The </w:t>
      </w:r>
      <w:r w:rsidRPr="00DE7B24">
        <w:rPr>
          <w:rFonts w:ascii="Book Antiqua" w:hAnsi="Book Antiqua" w:cs="Poppins"/>
          <w:sz w:val="22"/>
          <w:szCs w:val="22"/>
          <w:shd w:val="clear" w:color="auto" w:fill="FFFFFF"/>
        </w:rPr>
        <w:t>Firm/Trust/Society/Entity</w:t>
      </w:r>
      <w:r>
        <w:rPr>
          <w:rFonts w:ascii="Book Antiqua" w:hAnsi="Book Antiqua" w:cs="Poppins"/>
          <w:sz w:val="22"/>
          <w:szCs w:val="22"/>
          <w:shd w:val="clear" w:color="auto" w:fill="FFFFFF"/>
        </w:rPr>
        <w:t xml:space="preserve"> </w:t>
      </w:r>
      <w:r w:rsidRPr="00DD4830">
        <w:rPr>
          <w:rFonts w:ascii="Book Antiqua" w:hAnsi="Book Antiqua" w:cs="Poppins"/>
          <w:sz w:val="22"/>
          <w:szCs w:val="22"/>
          <w:shd w:val="clear" w:color="auto" w:fill="FFFFFF"/>
        </w:rPr>
        <w:t xml:space="preserve">does not recognize contingent liabilities but discloses </w:t>
      </w:r>
      <w:proofErr w:type="spellStart"/>
      <w:proofErr w:type="gramStart"/>
      <w:r w:rsidRPr="00DD4830">
        <w:rPr>
          <w:rFonts w:ascii="Book Antiqua" w:hAnsi="Book Antiqua" w:cs="Poppins"/>
          <w:sz w:val="22"/>
          <w:szCs w:val="22"/>
          <w:shd w:val="clear" w:color="auto" w:fill="FFFFFF"/>
        </w:rPr>
        <w:t>it’s</w:t>
      </w:r>
      <w:proofErr w:type="spellEnd"/>
      <w:proofErr w:type="gramEnd"/>
      <w:r w:rsidRPr="00DD4830">
        <w:rPr>
          <w:rFonts w:ascii="Book Antiqua" w:hAnsi="Book Antiqua" w:cs="Poppins"/>
          <w:sz w:val="22"/>
          <w:szCs w:val="22"/>
          <w:shd w:val="clear" w:color="auto" w:fill="FFFFFF"/>
        </w:rPr>
        <w:t xml:space="preserve"> existence in the financial statement.</w:t>
      </w:r>
    </w:p>
    <w:p w14:paraId="1CBE991C" w14:textId="77777777" w:rsidR="0063113A" w:rsidRDefault="0063113A" w:rsidP="00DE7B24">
      <w:pPr>
        <w:pStyle w:val="ListParagraph"/>
        <w:jc w:val="both"/>
        <w:rPr>
          <w:rFonts w:ascii="Book Antiqua" w:hAnsi="Book Antiqua" w:cs="Poppins"/>
          <w:sz w:val="22"/>
          <w:szCs w:val="22"/>
          <w:shd w:val="clear" w:color="auto" w:fill="FFFFFF"/>
        </w:rPr>
      </w:pPr>
    </w:p>
    <w:p w14:paraId="2A34AFC4" w14:textId="091458CF" w:rsidR="00041C83" w:rsidRDefault="00041C83" w:rsidP="00041C83">
      <w:p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B</w:t>
      </w:r>
      <w:r w:rsidRPr="00DE7B24">
        <w:rPr>
          <w:rFonts w:ascii="Book Antiqua" w:hAnsi="Book Antiqua" w:cs="Poppins"/>
          <w:b/>
          <w:bCs/>
          <w:sz w:val="22"/>
          <w:szCs w:val="22"/>
          <w:shd w:val="clear" w:color="auto" w:fill="FFFFFF"/>
        </w:rPr>
        <w:t xml:space="preserve">: </w:t>
      </w:r>
      <w:r>
        <w:rPr>
          <w:rFonts w:ascii="Book Antiqua" w:hAnsi="Book Antiqua" w:cs="Poppins"/>
          <w:b/>
          <w:bCs/>
          <w:sz w:val="22"/>
          <w:szCs w:val="22"/>
          <w:shd w:val="clear" w:color="auto" w:fill="FFFFFF"/>
        </w:rPr>
        <w:t>Disclosure required under the accounting standards</w:t>
      </w:r>
    </w:p>
    <w:p w14:paraId="6D19D53C" w14:textId="77B83929" w:rsidR="00041C83" w:rsidRDefault="00041C83" w:rsidP="00041C83">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The </w:t>
      </w:r>
      <w:r w:rsidRPr="00DE7B24">
        <w:rPr>
          <w:rFonts w:ascii="Book Antiqua" w:hAnsi="Book Antiqua" w:cs="Poppins"/>
          <w:sz w:val="22"/>
          <w:szCs w:val="22"/>
          <w:shd w:val="clear" w:color="auto" w:fill="FFFFFF"/>
        </w:rPr>
        <w:t>Firm/Trust/Society/Entity</w:t>
      </w:r>
      <w:r>
        <w:rPr>
          <w:rFonts w:ascii="Book Antiqua" w:hAnsi="Book Antiqua" w:cs="Poppins"/>
          <w:sz w:val="22"/>
          <w:szCs w:val="22"/>
          <w:shd w:val="clear" w:color="auto" w:fill="FFFFFF"/>
        </w:rPr>
        <w:t xml:space="preserve"> is a Level 4 entity as defined by the appendix to accounting standards and therefore, the </w:t>
      </w:r>
      <w:r w:rsidRPr="00DE7B24">
        <w:rPr>
          <w:rFonts w:ascii="Book Antiqua" w:hAnsi="Book Antiqua" w:cs="Poppins"/>
          <w:sz w:val="22"/>
          <w:szCs w:val="22"/>
          <w:shd w:val="clear" w:color="auto" w:fill="FFFFFF"/>
        </w:rPr>
        <w:t>Firm/Trust/Society/Entity</w:t>
      </w:r>
      <w:r>
        <w:rPr>
          <w:rFonts w:ascii="Book Antiqua" w:hAnsi="Book Antiqua" w:cs="Poppins"/>
          <w:sz w:val="22"/>
          <w:szCs w:val="22"/>
          <w:shd w:val="clear" w:color="auto" w:fill="FFFFFF"/>
        </w:rPr>
        <w:t xml:space="preserve"> is exempt from the application of the following accounting standards.</w:t>
      </w:r>
    </w:p>
    <w:p w14:paraId="4F3A39E7" w14:textId="77777777" w:rsidR="00041C83" w:rsidRDefault="00041C83" w:rsidP="00041C83">
      <w:pPr>
        <w:pStyle w:val="ListParagraph"/>
        <w:jc w:val="both"/>
        <w:rPr>
          <w:rFonts w:ascii="Book Antiqua" w:hAnsi="Book Antiqua" w:cs="Poppins"/>
          <w:sz w:val="22"/>
          <w:szCs w:val="22"/>
          <w:shd w:val="clear" w:color="auto" w:fill="FFFFFF"/>
        </w:rPr>
      </w:pPr>
    </w:p>
    <w:tbl>
      <w:tblPr>
        <w:tblStyle w:val="TableGrid"/>
        <w:tblW w:w="9356" w:type="dxa"/>
        <w:tblInd w:w="137" w:type="dxa"/>
        <w:tblLook w:val="04A0" w:firstRow="1" w:lastRow="0" w:firstColumn="1" w:lastColumn="0" w:noHBand="0" w:noVBand="1"/>
      </w:tblPr>
      <w:tblGrid>
        <w:gridCol w:w="1304"/>
        <w:gridCol w:w="8052"/>
      </w:tblGrid>
      <w:tr w:rsidR="00C645D1" w14:paraId="1001D25D" w14:textId="77777777" w:rsidTr="00490113">
        <w:tc>
          <w:tcPr>
            <w:tcW w:w="1304" w:type="dxa"/>
          </w:tcPr>
          <w:p w14:paraId="09CDA82A" w14:textId="7AA0BBC0" w:rsidR="00C645D1" w:rsidRPr="00C645D1" w:rsidRDefault="00C645D1" w:rsidP="00041C83">
            <w:pPr>
              <w:pStyle w:val="ListParagraph"/>
              <w:ind w:left="0"/>
              <w:jc w:val="both"/>
              <w:rPr>
                <w:rFonts w:ascii="Book Antiqua" w:hAnsi="Book Antiqua" w:cs="Poppins"/>
                <w:b/>
                <w:bCs/>
                <w:sz w:val="22"/>
                <w:szCs w:val="22"/>
                <w:shd w:val="clear" w:color="auto" w:fill="FFFFFF"/>
              </w:rPr>
            </w:pPr>
            <w:r w:rsidRPr="00C645D1">
              <w:rPr>
                <w:rFonts w:ascii="Book Antiqua" w:hAnsi="Book Antiqua" w:cs="Poppins"/>
                <w:b/>
                <w:bCs/>
                <w:sz w:val="22"/>
                <w:szCs w:val="22"/>
                <w:shd w:val="clear" w:color="auto" w:fill="FFFFFF"/>
              </w:rPr>
              <w:t>Standard</w:t>
            </w:r>
          </w:p>
        </w:tc>
        <w:tc>
          <w:tcPr>
            <w:tcW w:w="8052" w:type="dxa"/>
          </w:tcPr>
          <w:p w14:paraId="31B90E87" w14:textId="3A7B33B1" w:rsidR="00C645D1" w:rsidRPr="00C645D1" w:rsidRDefault="00C645D1" w:rsidP="00041C83">
            <w:pPr>
              <w:pStyle w:val="ListParagraph"/>
              <w:ind w:left="0"/>
              <w:jc w:val="both"/>
              <w:rPr>
                <w:rFonts w:ascii="Book Antiqua" w:hAnsi="Book Antiqua" w:cs="Poppins"/>
                <w:b/>
                <w:bCs/>
                <w:sz w:val="22"/>
                <w:szCs w:val="22"/>
                <w:shd w:val="clear" w:color="auto" w:fill="FFFFFF"/>
              </w:rPr>
            </w:pPr>
            <w:r w:rsidRPr="00C645D1">
              <w:rPr>
                <w:rFonts w:ascii="Book Antiqua" w:hAnsi="Book Antiqua" w:cs="Poppins"/>
                <w:b/>
                <w:bCs/>
                <w:sz w:val="22"/>
                <w:szCs w:val="22"/>
                <w:shd w:val="clear" w:color="auto" w:fill="FFFFFF"/>
              </w:rPr>
              <w:t>Name of the Standard</w:t>
            </w:r>
          </w:p>
        </w:tc>
      </w:tr>
      <w:tr w:rsidR="00C645D1" w14:paraId="5232DB81" w14:textId="77777777" w:rsidTr="00490113">
        <w:tc>
          <w:tcPr>
            <w:tcW w:w="1304" w:type="dxa"/>
            <w:vAlign w:val="center"/>
          </w:tcPr>
          <w:p w14:paraId="30EFF08F" w14:textId="4D19555F"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AS – 3</w:t>
            </w:r>
          </w:p>
        </w:tc>
        <w:tc>
          <w:tcPr>
            <w:tcW w:w="8052" w:type="dxa"/>
            <w:vAlign w:val="center"/>
          </w:tcPr>
          <w:p w14:paraId="7FEC6F51" w14:textId="1C87A971"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Cash Flow Statement</w:t>
            </w:r>
          </w:p>
        </w:tc>
      </w:tr>
      <w:tr w:rsidR="00C645D1" w14:paraId="3C21DB77" w14:textId="77777777" w:rsidTr="00490113">
        <w:tc>
          <w:tcPr>
            <w:tcW w:w="1304" w:type="dxa"/>
            <w:vAlign w:val="center"/>
          </w:tcPr>
          <w:p w14:paraId="041BB9CF" w14:textId="3C14A19C"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AS – 17</w:t>
            </w:r>
          </w:p>
        </w:tc>
        <w:tc>
          <w:tcPr>
            <w:tcW w:w="8052" w:type="dxa"/>
            <w:vAlign w:val="center"/>
          </w:tcPr>
          <w:p w14:paraId="36B3FACA" w14:textId="7F53062C"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Segment Reporting</w:t>
            </w:r>
          </w:p>
        </w:tc>
      </w:tr>
      <w:tr w:rsidR="00C645D1" w14:paraId="4FA9B6BC" w14:textId="77777777" w:rsidTr="00490113">
        <w:tc>
          <w:tcPr>
            <w:tcW w:w="1304" w:type="dxa"/>
            <w:vAlign w:val="center"/>
          </w:tcPr>
          <w:p w14:paraId="79ED2D82" w14:textId="55FC2AFB"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AS </w:t>
            </w:r>
            <w:r w:rsidR="001A7C4D">
              <w:rPr>
                <w:rFonts w:ascii="Book Antiqua" w:hAnsi="Book Antiqua" w:cs="Poppins"/>
                <w:sz w:val="22"/>
                <w:szCs w:val="22"/>
                <w:shd w:val="clear" w:color="auto" w:fill="FFFFFF"/>
              </w:rPr>
              <w:t>–</w:t>
            </w:r>
            <w:r>
              <w:rPr>
                <w:rFonts w:ascii="Book Antiqua" w:hAnsi="Book Antiqua" w:cs="Poppins"/>
                <w:sz w:val="22"/>
                <w:szCs w:val="22"/>
                <w:shd w:val="clear" w:color="auto" w:fill="FFFFFF"/>
              </w:rPr>
              <w:t xml:space="preserve"> 18</w:t>
            </w:r>
          </w:p>
        </w:tc>
        <w:tc>
          <w:tcPr>
            <w:tcW w:w="8052" w:type="dxa"/>
            <w:vAlign w:val="center"/>
          </w:tcPr>
          <w:p w14:paraId="1AF7C6CB" w14:textId="7ECE14FC"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Related Party Disclosures</w:t>
            </w:r>
          </w:p>
        </w:tc>
      </w:tr>
      <w:tr w:rsidR="00C645D1" w14:paraId="0205184F" w14:textId="77777777" w:rsidTr="00490113">
        <w:tc>
          <w:tcPr>
            <w:tcW w:w="1304" w:type="dxa"/>
            <w:vAlign w:val="center"/>
          </w:tcPr>
          <w:p w14:paraId="0A8A8899" w14:textId="78464A6D"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AS </w:t>
            </w:r>
            <w:r w:rsidR="001A7C4D">
              <w:rPr>
                <w:rFonts w:ascii="Book Antiqua" w:hAnsi="Book Antiqua" w:cs="Poppins"/>
                <w:sz w:val="22"/>
                <w:szCs w:val="22"/>
                <w:shd w:val="clear" w:color="auto" w:fill="FFFFFF"/>
              </w:rPr>
              <w:t>–</w:t>
            </w:r>
            <w:r>
              <w:rPr>
                <w:rFonts w:ascii="Book Antiqua" w:hAnsi="Book Antiqua" w:cs="Poppins"/>
                <w:sz w:val="22"/>
                <w:szCs w:val="22"/>
                <w:shd w:val="clear" w:color="auto" w:fill="FFFFFF"/>
              </w:rPr>
              <w:t xml:space="preserve"> 20</w:t>
            </w:r>
          </w:p>
        </w:tc>
        <w:tc>
          <w:tcPr>
            <w:tcW w:w="8052" w:type="dxa"/>
            <w:vAlign w:val="center"/>
          </w:tcPr>
          <w:p w14:paraId="7FA717AA" w14:textId="3FFCE105"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Earnings Per Share</w:t>
            </w:r>
          </w:p>
        </w:tc>
      </w:tr>
      <w:tr w:rsidR="00C645D1" w14:paraId="1675CA32" w14:textId="77777777" w:rsidTr="00490113">
        <w:tc>
          <w:tcPr>
            <w:tcW w:w="1304" w:type="dxa"/>
            <w:vAlign w:val="center"/>
          </w:tcPr>
          <w:p w14:paraId="343BB4F0" w14:textId="388DCE0D"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AS – 21</w:t>
            </w:r>
          </w:p>
        </w:tc>
        <w:tc>
          <w:tcPr>
            <w:tcW w:w="8052" w:type="dxa"/>
            <w:vAlign w:val="center"/>
          </w:tcPr>
          <w:p w14:paraId="71992271" w14:textId="61926DC5"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Consolidated Financial Statements</w:t>
            </w:r>
          </w:p>
        </w:tc>
      </w:tr>
      <w:tr w:rsidR="00C645D1" w14:paraId="6A35A93B" w14:textId="77777777" w:rsidTr="00490113">
        <w:tc>
          <w:tcPr>
            <w:tcW w:w="1304" w:type="dxa"/>
            <w:vAlign w:val="center"/>
          </w:tcPr>
          <w:p w14:paraId="6FD5DF28" w14:textId="7CB5AA06"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AS – 23</w:t>
            </w:r>
          </w:p>
        </w:tc>
        <w:tc>
          <w:tcPr>
            <w:tcW w:w="8052" w:type="dxa"/>
            <w:vAlign w:val="center"/>
          </w:tcPr>
          <w:p w14:paraId="7ADEED0D" w14:textId="6048A708" w:rsidR="00C645D1" w:rsidRDefault="00C645D1" w:rsidP="00C645D1">
            <w:pPr>
              <w:pStyle w:val="ListParagraph"/>
              <w:ind w:left="0"/>
              <w:rPr>
                <w:rFonts w:ascii="Book Antiqua" w:hAnsi="Book Antiqua" w:cs="Poppins"/>
                <w:sz w:val="22"/>
                <w:szCs w:val="22"/>
                <w:shd w:val="clear" w:color="auto" w:fill="FFFFFF"/>
              </w:rPr>
            </w:pPr>
            <w:r w:rsidRPr="00C645D1">
              <w:rPr>
                <w:rFonts w:ascii="Book Antiqua" w:hAnsi="Book Antiqua" w:cs="Poppins"/>
                <w:sz w:val="22"/>
                <w:szCs w:val="22"/>
                <w:shd w:val="clear" w:color="auto" w:fill="FFFFFF"/>
              </w:rPr>
              <w:t xml:space="preserve">Accounting for Investments in </w:t>
            </w:r>
            <w:proofErr w:type="gramStart"/>
            <w:r w:rsidRPr="00C645D1">
              <w:rPr>
                <w:rFonts w:ascii="Book Antiqua" w:hAnsi="Book Antiqua" w:cs="Poppins"/>
                <w:sz w:val="22"/>
                <w:szCs w:val="22"/>
                <w:shd w:val="clear" w:color="auto" w:fill="FFFFFF"/>
              </w:rPr>
              <w:t>Associates in Consolidated Financial</w:t>
            </w:r>
            <w:proofErr w:type="gramEnd"/>
            <w:r w:rsidRPr="00C645D1">
              <w:rPr>
                <w:rFonts w:ascii="Book Antiqua" w:hAnsi="Book Antiqua" w:cs="Poppins"/>
                <w:sz w:val="22"/>
                <w:szCs w:val="22"/>
                <w:shd w:val="clear" w:color="auto" w:fill="FFFFFF"/>
              </w:rPr>
              <w:t xml:space="preserve"> Statements</w:t>
            </w:r>
          </w:p>
        </w:tc>
      </w:tr>
      <w:tr w:rsidR="00C645D1" w14:paraId="6EA50822" w14:textId="77777777" w:rsidTr="00490113">
        <w:tc>
          <w:tcPr>
            <w:tcW w:w="1304" w:type="dxa"/>
            <w:vAlign w:val="center"/>
          </w:tcPr>
          <w:p w14:paraId="6729ACF5" w14:textId="5E3CCBAD"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AS – 24</w:t>
            </w:r>
          </w:p>
        </w:tc>
        <w:tc>
          <w:tcPr>
            <w:tcW w:w="8052" w:type="dxa"/>
            <w:vAlign w:val="center"/>
          </w:tcPr>
          <w:p w14:paraId="44DD2904" w14:textId="5D5E89A8"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Discontinuing Operations</w:t>
            </w:r>
          </w:p>
        </w:tc>
      </w:tr>
      <w:tr w:rsidR="00C645D1" w14:paraId="713C5EC1" w14:textId="77777777" w:rsidTr="00490113">
        <w:tc>
          <w:tcPr>
            <w:tcW w:w="1304" w:type="dxa"/>
            <w:vAlign w:val="center"/>
          </w:tcPr>
          <w:p w14:paraId="57F4BD63" w14:textId="0ED3DBC2"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AS – 25</w:t>
            </w:r>
          </w:p>
        </w:tc>
        <w:tc>
          <w:tcPr>
            <w:tcW w:w="8052" w:type="dxa"/>
            <w:vAlign w:val="center"/>
          </w:tcPr>
          <w:p w14:paraId="63126743" w14:textId="70A26044"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Interim Financial Reporting</w:t>
            </w:r>
          </w:p>
        </w:tc>
      </w:tr>
      <w:tr w:rsidR="00C645D1" w14:paraId="404021E0" w14:textId="77777777" w:rsidTr="00490113">
        <w:tc>
          <w:tcPr>
            <w:tcW w:w="1304" w:type="dxa"/>
            <w:vAlign w:val="center"/>
          </w:tcPr>
          <w:p w14:paraId="535B9CCE" w14:textId="2053F2C9"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AS – 27</w:t>
            </w:r>
          </w:p>
        </w:tc>
        <w:tc>
          <w:tcPr>
            <w:tcW w:w="8052" w:type="dxa"/>
            <w:vAlign w:val="center"/>
          </w:tcPr>
          <w:p w14:paraId="7C9B78FA" w14:textId="4F95DA04" w:rsidR="00C645D1" w:rsidRDefault="00C645D1" w:rsidP="00C645D1">
            <w:pPr>
              <w:pStyle w:val="ListParagraph"/>
              <w:ind w:left="0"/>
              <w:rPr>
                <w:rFonts w:ascii="Book Antiqua" w:hAnsi="Book Antiqua" w:cs="Poppins"/>
                <w:sz w:val="22"/>
                <w:szCs w:val="22"/>
                <w:shd w:val="clear" w:color="auto" w:fill="FFFFFF"/>
              </w:rPr>
            </w:pPr>
            <w:r w:rsidRPr="00C645D1">
              <w:rPr>
                <w:rFonts w:ascii="Book Antiqua" w:hAnsi="Book Antiqua" w:cs="Poppins"/>
                <w:sz w:val="22"/>
                <w:szCs w:val="22"/>
                <w:shd w:val="clear" w:color="auto" w:fill="FFFFFF"/>
              </w:rPr>
              <w:t>Financial Reporting of Interests in Joint Ventures</w:t>
            </w:r>
          </w:p>
        </w:tc>
      </w:tr>
      <w:tr w:rsidR="00C645D1" w14:paraId="40497D30" w14:textId="77777777" w:rsidTr="00490113">
        <w:tc>
          <w:tcPr>
            <w:tcW w:w="1304" w:type="dxa"/>
            <w:vAlign w:val="center"/>
          </w:tcPr>
          <w:p w14:paraId="0C7D5B6B" w14:textId="42D9B2DB"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AS – 28</w:t>
            </w:r>
          </w:p>
        </w:tc>
        <w:tc>
          <w:tcPr>
            <w:tcW w:w="8052" w:type="dxa"/>
            <w:vAlign w:val="center"/>
          </w:tcPr>
          <w:p w14:paraId="4028BFCF" w14:textId="34AF4883" w:rsidR="00C645D1" w:rsidRDefault="00C645D1" w:rsidP="00C645D1">
            <w:pPr>
              <w:pStyle w:val="ListParagraph"/>
              <w:ind w:left="0"/>
              <w:rPr>
                <w:rFonts w:ascii="Book Antiqua" w:hAnsi="Book Antiqua" w:cs="Poppins"/>
                <w:sz w:val="22"/>
                <w:szCs w:val="22"/>
                <w:shd w:val="clear" w:color="auto" w:fill="FFFFFF"/>
              </w:rPr>
            </w:pPr>
            <w:r>
              <w:rPr>
                <w:rFonts w:ascii="Book Antiqua" w:hAnsi="Book Antiqua" w:cs="Poppins"/>
                <w:sz w:val="22"/>
                <w:szCs w:val="22"/>
                <w:shd w:val="clear" w:color="auto" w:fill="FFFFFF"/>
              </w:rPr>
              <w:t>Impairment of Assets</w:t>
            </w:r>
          </w:p>
        </w:tc>
      </w:tr>
    </w:tbl>
    <w:p w14:paraId="6E1F2921" w14:textId="77777777" w:rsidR="00490113" w:rsidRDefault="00490113" w:rsidP="00041C83">
      <w:pPr>
        <w:pStyle w:val="ListParagraph"/>
        <w:jc w:val="both"/>
        <w:rPr>
          <w:rFonts w:ascii="Book Antiqua" w:hAnsi="Book Antiqua" w:cs="Poppins"/>
          <w:sz w:val="22"/>
          <w:szCs w:val="22"/>
          <w:shd w:val="clear" w:color="auto" w:fill="FFFFFF"/>
        </w:rPr>
      </w:pPr>
    </w:p>
    <w:p w14:paraId="2A290EBC" w14:textId="52284656" w:rsidR="00041C83" w:rsidRDefault="001A7C4D" w:rsidP="00041C83">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Further, the </w:t>
      </w:r>
      <w:r w:rsidRPr="00DE7B24">
        <w:rPr>
          <w:rFonts w:ascii="Book Antiqua" w:hAnsi="Book Antiqua" w:cs="Poppins"/>
          <w:sz w:val="22"/>
          <w:szCs w:val="22"/>
          <w:shd w:val="clear" w:color="auto" w:fill="FFFFFF"/>
        </w:rPr>
        <w:t>Firm/Trust/Society/Entity</w:t>
      </w:r>
      <w:r>
        <w:rPr>
          <w:rFonts w:ascii="Book Antiqua" w:hAnsi="Book Antiqua" w:cs="Poppins"/>
          <w:sz w:val="22"/>
          <w:szCs w:val="22"/>
          <w:shd w:val="clear" w:color="auto" w:fill="FFFFFF"/>
        </w:rPr>
        <w:t xml:space="preserve"> has complied with the applicable accounting standards to the extent the standards are applicable</w:t>
      </w:r>
    </w:p>
    <w:p w14:paraId="685E7FB1" w14:textId="77777777" w:rsidR="00041C83" w:rsidRPr="00DE7B24" w:rsidRDefault="00041C83" w:rsidP="00041C83">
      <w:pPr>
        <w:pStyle w:val="ListParagraph"/>
        <w:jc w:val="both"/>
        <w:rPr>
          <w:rFonts w:ascii="Book Antiqua" w:hAnsi="Book Antiqua" w:cs="Poppins"/>
          <w:sz w:val="22"/>
          <w:szCs w:val="22"/>
          <w:shd w:val="clear" w:color="auto" w:fill="FFFFFF"/>
        </w:rPr>
      </w:pPr>
    </w:p>
    <w:p w14:paraId="7BA832ED" w14:textId="3B1A7653" w:rsidR="00A623D1" w:rsidRDefault="00A623D1" w:rsidP="00041C83">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Contingencies and Events Occurring after Balance Sheet Date (AS – 4)</w:t>
      </w:r>
    </w:p>
    <w:p w14:paraId="18FBF1E2" w14:textId="77777777" w:rsidR="00A623D1" w:rsidRPr="00A623D1" w:rsidRDefault="00A623D1" w:rsidP="00A623D1">
      <w:pPr>
        <w:pStyle w:val="ListParagraph"/>
        <w:jc w:val="both"/>
        <w:rPr>
          <w:rFonts w:ascii="Book Antiqua" w:hAnsi="Book Antiqua" w:cs="Poppins"/>
          <w:sz w:val="22"/>
          <w:szCs w:val="22"/>
          <w:shd w:val="clear" w:color="auto" w:fill="FFFFFF"/>
        </w:rPr>
      </w:pPr>
    </w:p>
    <w:p w14:paraId="53FD322B" w14:textId="05F98B3F" w:rsidR="00A623D1" w:rsidRDefault="00A623D1" w:rsidP="00A623D1">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(Where non-adjusting events are present.)</w:t>
      </w:r>
    </w:p>
    <w:p w14:paraId="164AB010" w14:textId="77777777" w:rsidR="00A623D1" w:rsidRDefault="00A623D1" w:rsidP="00A623D1">
      <w:pPr>
        <w:pStyle w:val="ListParagraph"/>
        <w:jc w:val="both"/>
        <w:rPr>
          <w:rFonts w:ascii="Book Antiqua" w:hAnsi="Book Antiqua" w:cs="Poppins"/>
          <w:sz w:val="22"/>
          <w:szCs w:val="22"/>
          <w:shd w:val="clear" w:color="auto" w:fill="FFFFFF"/>
        </w:rPr>
      </w:pPr>
    </w:p>
    <w:p w14:paraId="25874365" w14:textId="3D4A3284" w:rsidR="00A623D1" w:rsidRDefault="00A623D1" w:rsidP="00A623D1">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Nature of Event:</w:t>
      </w:r>
    </w:p>
    <w:p w14:paraId="03B7C9AB" w14:textId="72604730" w:rsidR="00A623D1" w:rsidRPr="00A623D1" w:rsidRDefault="00A623D1" w:rsidP="00A623D1">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Financial Impact</w:t>
      </w:r>
    </w:p>
    <w:p w14:paraId="7BDF22B3" w14:textId="77777777" w:rsidR="00A623D1" w:rsidRDefault="00A623D1" w:rsidP="00A623D1">
      <w:pPr>
        <w:pStyle w:val="ListParagraph"/>
        <w:jc w:val="both"/>
        <w:rPr>
          <w:rFonts w:ascii="Book Antiqua" w:hAnsi="Book Antiqua" w:cs="Poppins"/>
          <w:sz w:val="22"/>
          <w:szCs w:val="22"/>
          <w:shd w:val="clear" w:color="auto" w:fill="FFFFFF"/>
        </w:rPr>
      </w:pPr>
    </w:p>
    <w:p w14:paraId="3F22B0BB" w14:textId="01B94B4B" w:rsidR="00A623D1" w:rsidRDefault="00A623D1" w:rsidP="00A623D1">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(Where non-adjusting events are </w:t>
      </w:r>
      <w:r>
        <w:rPr>
          <w:rFonts w:ascii="Book Antiqua" w:hAnsi="Book Antiqua" w:cs="Poppins"/>
          <w:sz w:val="22"/>
          <w:szCs w:val="22"/>
          <w:shd w:val="clear" w:color="auto" w:fill="FFFFFF"/>
        </w:rPr>
        <w:t xml:space="preserve">not </w:t>
      </w:r>
      <w:r>
        <w:rPr>
          <w:rFonts w:ascii="Book Antiqua" w:hAnsi="Book Antiqua" w:cs="Poppins"/>
          <w:sz w:val="22"/>
          <w:szCs w:val="22"/>
          <w:shd w:val="clear" w:color="auto" w:fill="FFFFFF"/>
        </w:rPr>
        <w:t>present</w:t>
      </w:r>
      <w:r>
        <w:rPr>
          <w:rFonts w:ascii="Book Antiqua" w:hAnsi="Book Antiqua" w:cs="Poppins"/>
          <w:sz w:val="22"/>
          <w:szCs w:val="22"/>
          <w:shd w:val="clear" w:color="auto" w:fill="FFFFFF"/>
        </w:rPr>
        <w:t>, this disclosure may be omitted</w:t>
      </w:r>
      <w:r>
        <w:rPr>
          <w:rFonts w:ascii="Book Antiqua" w:hAnsi="Book Antiqua" w:cs="Poppins"/>
          <w:sz w:val="22"/>
          <w:szCs w:val="22"/>
          <w:shd w:val="clear" w:color="auto" w:fill="FFFFFF"/>
        </w:rPr>
        <w:t>)</w:t>
      </w:r>
    </w:p>
    <w:p w14:paraId="6C35E095" w14:textId="77777777" w:rsidR="00A623D1" w:rsidRPr="00A623D1" w:rsidRDefault="00A623D1" w:rsidP="00A623D1">
      <w:pPr>
        <w:pStyle w:val="ListParagraph"/>
        <w:jc w:val="both"/>
        <w:rPr>
          <w:rFonts w:ascii="Book Antiqua" w:hAnsi="Book Antiqua" w:cs="Poppins"/>
          <w:sz w:val="22"/>
          <w:szCs w:val="22"/>
          <w:shd w:val="clear" w:color="auto" w:fill="FFFFFF"/>
        </w:rPr>
      </w:pPr>
    </w:p>
    <w:p w14:paraId="3DE8E515" w14:textId="77777777" w:rsidR="00A623D1" w:rsidRPr="00A623D1" w:rsidRDefault="00A623D1" w:rsidP="00A623D1">
      <w:pPr>
        <w:pStyle w:val="ListParagraph"/>
        <w:jc w:val="both"/>
        <w:rPr>
          <w:rFonts w:ascii="Book Antiqua" w:hAnsi="Book Antiqua" w:cs="Poppins"/>
          <w:sz w:val="22"/>
          <w:szCs w:val="22"/>
          <w:shd w:val="clear" w:color="auto" w:fill="FFFFFF"/>
        </w:rPr>
      </w:pPr>
    </w:p>
    <w:p w14:paraId="2E1D3875" w14:textId="312DDBF4" w:rsidR="00A623D1" w:rsidRDefault="00537268" w:rsidP="00041C83">
      <w:pPr>
        <w:pStyle w:val="ListParagraph"/>
        <w:numPr>
          <w:ilvl w:val="1"/>
          <w:numId w:val="2"/>
        </w:numPr>
        <w:jc w:val="both"/>
        <w:rPr>
          <w:rFonts w:ascii="Book Antiqua" w:hAnsi="Book Antiqua" w:cs="Poppins"/>
          <w:b/>
          <w:bCs/>
          <w:sz w:val="22"/>
          <w:szCs w:val="22"/>
          <w:shd w:val="clear" w:color="auto" w:fill="FFFFFF"/>
        </w:rPr>
      </w:pPr>
      <w:r w:rsidRPr="00537268">
        <w:rPr>
          <w:rFonts w:ascii="Book Antiqua" w:hAnsi="Book Antiqua" w:cs="Poppins"/>
          <w:b/>
          <w:bCs/>
          <w:sz w:val="22"/>
          <w:szCs w:val="22"/>
          <w:shd w:val="clear" w:color="auto" w:fill="FFFFFF"/>
        </w:rPr>
        <w:t>Net Profit or Loss for the Period, Prior Period Items and Changes in Accounting Policies</w:t>
      </w:r>
      <w:r w:rsidRPr="00537268">
        <w:rPr>
          <w:rFonts w:ascii="Book Antiqua" w:hAnsi="Book Antiqua" w:cs="Poppins"/>
          <w:b/>
          <w:bCs/>
          <w:sz w:val="22"/>
          <w:szCs w:val="22"/>
          <w:shd w:val="clear" w:color="auto" w:fill="FFFFFF"/>
        </w:rPr>
        <w:t xml:space="preserve"> </w:t>
      </w:r>
      <w:r w:rsidR="00A623D1">
        <w:rPr>
          <w:rFonts w:ascii="Book Antiqua" w:hAnsi="Book Antiqua" w:cs="Poppins"/>
          <w:b/>
          <w:bCs/>
          <w:sz w:val="22"/>
          <w:szCs w:val="22"/>
          <w:shd w:val="clear" w:color="auto" w:fill="FFFFFF"/>
        </w:rPr>
        <w:t>(AS – 5)</w:t>
      </w:r>
    </w:p>
    <w:p w14:paraId="28E0FF96" w14:textId="77777777" w:rsidR="00C1504C" w:rsidRPr="00C1504C" w:rsidRDefault="00C1504C" w:rsidP="00C1504C">
      <w:pPr>
        <w:pStyle w:val="ListParagraph"/>
        <w:jc w:val="both"/>
        <w:rPr>
          <w:rFonts w:ascii="Book Antiqua" w:hAnsi="Book Antiqua" w:cs="Poppins"/>
          <w:sz w:val="22"/>
          <w:szCs w:val="22"/>
          <w:shd w:val="clear" w:color="auto" w:fill="FFFFFF"/>
        </w:rPr>
      </w:pPr>
    </w:p>
    <w:p w14:paraId="4C960946" w14:textId="20EA306A" w:rsidR="00C1504C" w:rsidRPr="00C1504C" w:rsidRDefault="00C1504C" w:rsidP="00C1504C">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(To be disclosed only when Extra-ordinary items are reported in Statement of P&amp;L)</w:t>
      </w:r>
    </w:p>
    <w:p w14:paraId="07EDA93B" w14:textId="77777777" w:rsidR="00C1504C" w:rsidRDefault="00C1504C" w:rsidP="00C1504C">
      <w:pPr>
        <w:pStyle w:val="ListParagraph"/>
        <w:jc w:val="both"/>
        <w:rPr>
          <w:rFonts w:ascii="Book Antiqua" w:hAnsi="Book Antiqua" w:cs="Poppins"/>
          <w:sz w:val="22"/>
          <w:szCs w:val="22"/>
          <w:shd w:val="clear" w:color="auto" w:fill="FFFFFF"/>
        </w:rPr>
      </w:pPr>
    </w:p>
    <w:p w14:paraId="5BE9F3CF" w14:textId="242F51E3" w:rsidR="00C1504C" w:rsidRDefault="00C1504C" w:rsidP="00C1504C">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The following values to be furnished</w:t>
      </w:r>
    </w:p>
    <w:p w14:paraId="5EDAAAFF" w14:textId="0480497E" w:rsidR="00C1504C" w:rsidRDefault="00C1504C" w:rsidP="00C1504C">
      <w:pPr>
        <w:pStyle w:val="ListParagraph"/>
        <w:numPr>
          <w:ilvl w:val="0"/>
          <w:numId w:val="4"/>
        </w:numPr>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Write-down of Inventories</w:t>
      </w:r>
    </w:p>
    <w:p w14:paraId="4FAFB3A9" w14:textId="08E44217" w:rsidR="00C1504C" w:rsidRDefault="00C1504C" w:rsidP="00C1504C">
      <w:pPr>
        <w:pStyle w:val="ListParagraph"/>
        <w:numPr>
          <w:ilvl w:val="0"/>
          <w:numId w:val="4"/>
        </w:numPr>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Reversal of Provisions in the event of restructuring</w:t>
      </w:r>
    </w:p>
    <w:p w14:paraId="15CA256A" w14:textId="223C31E0" w:rsidR="00C1504C" w:rsidRDefault="00C1504C" w:rsidP="00C1504C">
      <w:pPr>
        <w:pStyle w:val="ListParagraph"/>
        <w:numPr>
          <w:ilvl w:val="0"/>
          <w:numId w:val="4"/>
        </w:numPr>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Disposal of Fixed Assets</w:t>
      </w:r>
    </w:p>
    <w:p w14:paraId="3BA0288F" w14:textId="65E8207D" w:rsidR="00C1504C" w:rsidRDefault="00C1504C" w:rsidP="00C1504C">
      <w:pPr>
        <w:pStyle w:val="ListParagraph"/>
        <w:numPr>
          <w:ilvl w:val="0"/>
          <w:numId w:val="4"/>
        </w:numPr>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Disposal of </w:t>
      </w:r>
      <w:proofErr w:type="gramStart"/>
      <w:r>
        <w:rPr>
          <w:rFonts w:ascii="Book Antiqua" w:hAnsi="Book Antiqua" w:cs="Poppins"/>
          <w:sz w:val="22"/>
          <w:szCs w:val="22"/>
          <w:shd w:val="clear" w:color="auto" w:fill="FFFFFF"/>
        </w:rPr>
        <w:t>Long Term</w:t>
      </w:r>
      <w:proofErr w:type="gramEnd"/>
      <w:r>
        <w:rPr>
          <w:rFonts w:ascii="Book Antiqua" w:hAnsi="Book Antiqua" w:cs="Poppins"/>
          <w:sz w:val="22"/>
          <w:szCs w:val="22"/>
          <w:shd w:val="clear" w:color="auto" w:fill="FFFFFF"/>
        </w:rPr>
        <w:t xml:space="preserve"> Investments</w:t>
      </w:r>
    </w:p>
    <w:p w14:paraId="6ADECF47" w14:textId="54030421" w:rsidR="00C1504C" w:rsidRDefault="00C1504C" w:rsidP="00C1504C">
      <w:pPr>
        <w:pStyle w:val="ListParagraph"/>
        <w:numPr>
          <w:ilvl w:val="0"/>
          <w:numId w:val="4"/>
        </w:numPr>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Legislative charges with retrospective application</w:t>
      </w:r>
    </w:p>
    <w:p w14:paraId="40682194" w14:textId="30590F4C" w:rsidR="00C1504C" w:rsidRDefault="00C1504C" w:rsidP="00C1504C">
      <w:pPr>
        <w:pStyle w:val="ListParagraph"/>
        <w:numPr>
          <w:ilvl w:val="0"/>
          <w:numId w:val="4"/>
        </w:numPr>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Litigation Settlements</w:t>
      </w:r>
    </w:p>
    <w:p w14:paraId="729B21B7" w14:textId="6635EBFA" w:rsidR="00C1504C" w:rsidRDefault="00C1504C" w:rsidP="00C1504C">
      <w:pPr>
        <w:pStyle w:val="ListParagraph"/>
        <w:numPr>
          <w:ilvl w:val="0"/>
          <w:numId w:val="4"/>
        </w:numPr>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Other reversal of </w:t>
      </w:r>
      <w:proofErr w:type="spellStart"/>
      <w:r>
        <w:rPr>
          <w:rFonts w:ascii="Book Antiqua" w:hAnsi="Book Antiqua" w:cs="Poppins"/>
          <w:sz w:val="22"/>
          <w:szCs w:val="22"/>
          <w:shd w:val="clear" w:color="auto" w:fill="FFFFFF"/>
        </w:rPr>
        <w:t>Provsions</w:t>
      </w:r>
      <w:proofErr w:type="spellEnd"/>
    </w:p>
    <w:p w14:paraId="5B2CA7BB" w14:textId="443D2401" w:rsidR="00C1504C" w:rsidRPr="00C1504C" w:rsidRDefault="00C1504C" w:rsidP="00C1504C">
      <w:pPr>
        <w:ind w:left="720"/>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If the statement of P&amp;L contains prior period items, the nature and value of such items to be disclosed.</w:t>
      </w:r>
    </w:p>
    <w:p w14:paraId="6D5312FE" w14:textId="77777777" w:rsidR="00C1504C" w:rsidRPr="00C1504C" w:rsidRDefault="00C1504C" w:rsidP="00C1504C">
      <w:pPr>
        <w:pStyle w:val="ListParagraph"/>
        <w:jc w:val="both"/>
        <w:rPr>
          <w:rFonts w:ascii="Book Antiqua" w:hAnsi="Book Antiqua" w:cs="Poppins"/>
          <w:sz w:val="22"/>
          <w:szCs w:val="22"/>
          <w:shd w:val="clear" w:color="auto" w:fill="FFFFFF"/>
        </w:rPr>
      </w:pPr>
    </w:p>
    <w:p w14:paraId="5B6D5798" w14:textId="232A4D37" w:rsidR="00A623D1" w:rsidRDefault="00C1504C" w:rsidP="00041C83">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Construction Contracts (AS – 7)</w:t>
      </w:r>
    </w:p>
    <w:p w14:paraId="2B60A8E8" w14:textId="77777777" w:rsidR="00C1504C" w:rsidRDefault="00C1504C" w:rsidP="00C1504C">
      <w:pPr>
        <w:pStyle w:val="ListParagraph"/>
        <w:jc w:val="both"/>
        <w:rPr>
          <w:rFonts w:ascii="Book Antiqua" w:hAnsi="Book Antiqua" w:cs="Poppins"/>
          <w:b/>
          <w:bCs/>
          <w:sz w:val="22"/>
          <w:szCs w:val="22"/>
          <w:shd w:val="clear" w:color="auto" w:fill="FFFFFF"/>
        </w:rPr>
      </w:pPr>
    </w:p>
    <w:p w14:paraId="26788F8F" w14:textId="61D164B3"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(to be disclosed only by entitie</w:t>
      </w:r>
      <w:r>
        <w:rPr>
          <w:rFonts w:ascii="Book Antiqua" w:hAnsi="Book Antiqua" w:cs="Poppins"/>
          <w:sz w:val="22"/>
          <w:szCs w:val="22"/>
          <w:shd w:val="clear" w:color="auto" w:fill="FFFFFF"/>
        </w:rPr>
        <w:t>s</w:t>
      </w:r>
      <w:r w:rsidRPr="00C1504C">
        <w:rPr>
          <w:rFonts w:ascii="Book Antiqua" w:hAnsi="Book Antiqua" w:cs="Poppins"/>
          <w:sz w:val="22"/>
          <w:szCs w:val="22"/>
          <w:shd w:val="clear" w:color="auto" w:fill="FFFFFF"/>
        </w:rPr>
        <w:t xml:space="preserve"> involved in construction activities)</w:t>
      </w:r>
    </w:p>
    <w:p w14:paraId="71AF6838" w14:textId="77777777" w:rsidR="00C1504C" w:rsidRDefault="00C1504C" w:rsidP="00C1504C">
      <w:pPr>
        <w:pStyle w:val="ListParagraph"/>
        <w:jc w:val="both"/>
        <w:rPr>
          <w:rFonts w:ascii="Book Antiqua" w:hAnsi="Book Antiqua" w:cs="Poppins"/>
          <w:sz w:val="22"/>
          <w:szCs w:val="22"/>
          <w:shd w:val="clear" w:color="auto" w:fill="FFFFFF"/>
        </w:rPr>
      </w:pPr>
    </w:p>
    <w:p w14:paraId="26D8378D"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 xml:space="preserve">Revenue from fixed price construction contracts is recognised on the percentage of completion method, measured by reference to the percentage of labour hours incurred </w:t>
      </w:r>
      <w:proofErr w:type="spellStart"/>
      <w:r w:rsidRPr="00C1504C">
        <w:rPr>
          <w:rFonts w:ascii="Book Antiqua" w:hAnsi="Book Antiqua" w:cs="Poppins"/>
          <w:sz w:val="22"/>
          <w:szCs w:val="22"/>
          <w:shd w:val="clear" w:color="auto" w:fill="FFFFFF"/>
        </w:rPr>
        <w:t>upto</w:t>
      </w:r>
      <w:proofErr w:type="spellEnd"/>
      <w:r w:rsidRPr="00C1504C">
        <w:rPr>
          <w:rFonts w:ascii="Book Antiqua" w:hAnsi="Book Antiqua" w:cs="Poppins"/>
          <w:sz w:val="22"/>
          <w:szCs w:val="22"/>
          <w:shd w:val="clear" w:color="auto" w:fill="FFFFFF"/>
        </w:rPr>
        <w:t xml:space="preserve"> the reporting date to estimated total labour hours for each contract.</w:t>
      </w:r>
    </w:p>
    <w:p w14:paraId="52D7615E" w14:textId="77777777" w:rsidR="00C1504C" w:rsidRDefault="00C1504C" w:rsidP="00C1504C">
      <w:pPr>
        <w:pStyle w:val="ListParagraph"/>
        <w:jc w:val="both"/>
        <w:rPr>
          <w:rFonts w:ascii="Book Antiqua" w:hAnsi="Book Antiqua" w:cs="Poppins"/>
          <w:sz w:val="22"/>
          <w:szCs w:val="22"/>
          <w:shd w:val="clear" w:color="auto" w:fill="FFFFFF"/>
        </w:rPr>
      </w:pPr>
    </w:p>
    <w:p w14:paraId="4FD7F4F0" w14:textId="25413D3F"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 xml:space="preserve">Revenue from cost plus contracts is recognised by reference to the recoverable costs incurred during the period plus the fee earned, measured by the proportion that costs incurred </w:t>
      </w:r>
      <w:proofErr w:type="spellStart"/>
      <w:r w:rsidRPr="00C1504C">
        <w:rPr>
          <w:rFonts w:ascii="Book Antiqua" w:hAnsi="Book Antiqua" w:cs="Poppins"/>
          <w:sz w:val="22"/>
          <w:szCs w:val="22"/>
          <w:shd w:val="clear" w:color="auto" w:fill="FFFFFF"/>
        </w:rPr>
        <w:t>upto</w:t>
      </w:r>
      <w:proofErr w:type="spellEnd"/>
      <w:r w:rsidRPr="00C1504C">
        <w:rPr>
          <w:rFonts w:ascii="Book Antiqua" w:hAnsi="Book Antiqua" w:cs="Poppins"/>
          <w:sz w:val="22"/>
          <w:szCs w:val="22"/>
          <w:shd w:val="clear" w:color="auto" w:fill="FFFFFF"/>
        </w:rPr>
        <w:t xml:space="preserve"> the reporting date bear to the estimated total costs of the contract.</w:t>
      </w:r>
    </w:p>
    <w:p w14:paraId="7EAF8A8F" w14:textId="77777777" w:rsidR="00C1504C" w:rsidRDefault="00C1504C" w:rsidP="00C1504C">
      <w:pPr>
        <w:pStyle w:val="ListParagraph"/>
        <w:jc w:val="both"/>
        <w:rPr>
          <w:rFonts w:ascii="Book Antiqua" w:hAnsi="Book Antiqua" w:cs="Poppins"/>
          <w:sz w:val="22"/>
          <w:szCs w:val="22"/>
          <w:shd w:val="clear" w:color="auto" w:fill="FFFFFF"/>
        </w:rPr>
      </w:pPr>
    </w:p>
    <w:p w14:paraId="3E5CBD9E"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 xml:space="preserve">(a) the amount of contract revenue recognised as revenue in the </w:t>
      </w:r>
      <w:proofErr w:type="gramStart"/>
      <w:r w:rsidRPr="00C1504C">
        <w:rPr>
          <w:rFonts w:ascii="Book Antiqua" w:hAnsi="Book Antiqua" w:cs="Poppins"/>
          <w:sz w:val="22"/>
          <w:szCs w:val="22"/>
          <w:shd w:val="clear" w:color="auto" w:fill="FFFFFF"/>
        </w:rPr>
        <w:t>period;</w:t>
      </w:r>
      <w:proofErr w:type="gramEnd"/>
    </w:p>
    <w:p w14:paraId="06E32647"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(b) the methods used to determine the contract revenue recognised in the period; and</w:t>
      </w:r>
    </w:p>
    <w:p w14:paraId="53401708"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(c) the methods used to determine the stage of completion of contracts in progress.</w:t>
      </w:r>
    </w:p>
    <w:p w14:paraId="0395AB58" w14:textId="77777777" w:rsidR="00C1504C" w:rsidRDefault="00C1504C" w:rsidP="00C1504C">
      <w:pPr>
        <w:pStyle w:val="ListParagraph"/>
        <w:jc w:val="both"/>
        <w:rPr>
          <w:rFonts w:ascii="Book Antiqua" w:hAnsi="Book Antiqua" w:cs="Poppins"/>
          <w:sz w:val="22"/>
          <w:szCs w:val="22"/>
          <w:shd w:val="clear" w:color="auto" w:fill="FFFFFF"/>
        </w:rPr>
      </w:pPr>
    </w:p>
    <w:p w14:paraId="5CC0724F" w14:textId="302F0046" w:rsidR="00C1504C" w:rsidRPr="00C1504C" w:rsidRDefault="00C1504C" w:rsidP="00C1504C">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In respect of Contracts in Progress </w:t>
      </w:r>
      <w:r w:rsidRPr="00C1504C">
        <w:rPr>
          <w:rFonts w:ascii="Book Antiqua" w:hAnsi="Book Antiqua" w:cs="Poppins"/>
          <w:sz w:val="22"/>
          <w:szCs w:val="22"/>
          <w:shd w:val="clear" w:color="auto" w:fill="FFFFFF"/>
        </w:rPr>
        <w:t>at the reporting date:</w:t>
      </w:r>
    </w:p>
    <w:p w14:paraId="5DEE29D2"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 xml:space="preserve">(a) the aggregate amount of costs incurred and recognised profits (less recognised losses) </w:t>
      </w:r>
      <w:proofErr w:type="spellStart"/>
      <w:r w:rsidRPr="00C1504C">
        <w:rPr>
          <w:rFonts w:ascii="Book Antiqua" w:hAnsi="Book Antiqua" w:cs="Poppins"/>
          <w:sz w:val="22"/>
          <w:szCs w:val="22"/>
          <w:shd w:val="clear" w:color="auto" w:fill="FFFFFF"/>
        </w:rPr>
        <w:t>upto</w:t>
      </w:r>
      <w:proofErr w:type="spellEnd"/>
      <w:r w:rsidRPr="00C1504C">
        <w:rPr>
          <w:rFonts w:ascii="Book Antiqua" w:hAnsi="Book Antiqua" w:cs="Poppins"/>
          <w:sz w:val="22"/>
          <w:szCs w:val="22"/>
          <w:shd w:val="clear" w:color="auto" w:fill="FFFFFF"/>
        </w:rPr>
        <w:t xml:space="preserve"> the reporting </w:t>
      </w:r>
      <w:proofErr w:type="gramStart"/>
      <w:r w:rsidRPr="00C1504C">
        <w:rPr>
          <w:rFonts w:ascii="Book Antiqua" w:hAnsi="Book Antiqua" w:cs="Poppins"/>
          <w:sz w:val="22"/>
          <w:szCs w:val="22"/>
          <w:shd w:val="clear" w:color="auto" w:fill="FFFFFF"/>
        </w:rPr>
        <w:t>date;</w:t>
      </w:r>
      <w:proofErr w:type="gramEnd"/>
    </w:p>
    <w:p w14:paraId="14C7576D"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 xml:space="preserve">(b) the </w:t>
      </w:r>
      <w:proofErr w:type="gramStart"/>
      <w:r w:rsidRPr="00C1504C">
        <w:rPr>
          <w:rFonts w:ascii="Book Antiqua" w:hAnsi="Book Antiqua" w:cs="Poppins"/>
          <w:sz w:val="22"/>
          <w:szCs w:val="22"/>
          <w:shd w:val="clear" w:color="auto" w:fill="FFFFFF"/>
        </w:rPr>
        <w:t>amount</w:t>
      </w:r>
      <w:proofErr w:type="gramEnd"/>
      <w:r w:rsidRPr="00C1504C">
        <w:rPr>
          <w:rFonts w:ascii="Book Antiqua" w:hAnsi="Book Antiqua" w:cs="Poppins"/>
          <w:sz w:val="22"/>
          <w:szCs w:val="22"/>
          <w:shd w:val="clear" w:color="auto" w:fill="FFFFFF"/>
        </w:rPr>
        <w:t xml:space="preserve"> of advances received; and</w:t>
      </w:r>
    </w:p>
    <w:p w14:paraId="3E71A6EC"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 xml:space="preserve">(c) the </w:t>
      </w:r>
      <w:proofErr w:type="gramStart"/>
      <w:r w:rsidRPr="00C1504C">
        <w:rPr>
          <w:rFonts w:ascii="Book Antiqua" w:hAnsi="Book Antiqua" w:cs="Poppins"/>
          <w:sz w:val="22"/>
          <w:szCs w:val="22"/>
          <w:shd w:val="clear" w:color="auto" w:fill="FFFFFF"/>
        </w:rPr>
        <w:t>amount</w:t>
      </w:r>
      <w:proofErr w:type="gramEnd"/>
      <w:r w:rsidRPr="00C1504C">
        <w:rPr>
          <w:rFonts w:ascii="Book Antiqua" w:hAnsi="Book Antiqua" w:cs="Poppins"/>
          <w:sz w:val="22"/>
          <w:szCs w:val="22"/>
          <w:shd w:val="clear" w:color="auto" w:fill="FFFFFF"/>
        </w:rPr>
        <w:t xml:space="preserve"> of retentions.</w:t>
      </w:r>
    </w:p>
    <w:p w14:paraId="70E54E1B" w14:textId="77777777" w:rsidR="00C1504C" w:rsidRDefault="00C1504C" w:rsidP="00C1504C">
      <w:pPr>
        <w:pStyle w:val="ListParagraph"/>
        <w:jc w:val="both"/>
        <w:rPr>
          <w:rFonts w:ascii="Book Antiqua" w:hAnsi="Book Antiqua" w:cs="Poppins"/>
          <w:sz w:val="22"/>
          <w:szCs w:val="22"/>
          <w:shd w:val="clear" w:color="auto" w:fill="FFFFFF"/>
        </w:rPr>
      </w:pPr>
    </w:p>
    <w:p w14:paraId="15E3BEA7" w14:textId="6626409C" w:rsidR="00C1504C" w:rsidRDefault="00C1504C" w:rsidP="00C1504C">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The following amounts as at the reporting date</w:t>
      </w:r>
    </w:p>
    <w:p w14:paraId="19D29704"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(a) the gross amount due from customers for contract work as an asset; and</w:t>
      </w:r>
    </w:p>
    <w:p w14:paraId="3EF84108" w14:textId="77777777"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(b) the gross amount due to customers for contract work as a liability.</w:t>
      </w:r>
    </w:p>
    <w:p w14:paraId="788D909F" w14:textId="77777777" w:rsidR="00C1504C" w:rsidRPr="00C1504C" w:rsidRDefault="00C1504C" w:rsidP="00C1504C">
      <w:pPr>
        <w:pStyle w:val="ListParagraph"/>
        <w:jc w:val="both"/>
        <w:rPr>
          <w:rFonts w:ascii="Book Antiqua" w:hAnsi="Book Antiqua" w:cs="Poppins"/>
          <w:sz w:val="22"/>
          <w:szCs w:val="22"/>
          <w:shd w:val="clear" w:color="auto" w:fill="FFFFFF"/>
        </w:rPr>
      </w:pPr>
    </w:p>
    <w:p w14:paraId="1316477A" w14:textId="5AB9F7B4" w:rsidR="00041C83" w:rsidRPr="00DE7B24" w:rsidRDefault="00041C83" w:rsidP="00041C83">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Revenue Recognition</w:t>
      </w:r>
      <w:r w:rsidR="00E4063A">
        <w:rPr>
          <w:rFonts w:ascii="Book Antiqua" w:hAnsi="Book Antiqua" w:cs="Poppins"/>
          <w:b/>
          <w:bCs/>
          <w:sz w:val="22"/>
          <w:szCs w:val="22"/>
          <w:shd w:val="clear" w:color="auto" w:fill="FFFFFF"/>
        </w:rPr>
        <w:t xml:space="preserve"> (AS – 9)</w:t>
      </w:r>
    </w:p>
    <w:p w14:paraId="58C0BD5B" w14:textId="77777777" w:rsidR="00041C83" w:rsidRPr="00DE7B24" w:rsidRDefault="00041C83" w:rsidP="00041C83">
      <w:pPr>
        <w:pStyle w:val="ListParagraph"/>
        <w:jc w:val="both"/>
        <w:rPr>
          <w:rFonts w:ascii="Book Antiqua" w:hAnsi="Book Antiqua" w:cs="Poppins"/>
          <w:sz w:val="22"/>
          <w:szCs w:val="22"/>
          <w:shd w:val="clear" w:color="auto" w:fill="FFFFFF"/>
        </w:rPr>
      </w:pPr>
    </w:p>
    <w:p w14:paraId="752D2213" w14:textId="77777777" w:rsidR="00041C83" w:rsidRDefault="00041C83" w:rsidP="00041C83">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The total turnover has been recognized on accrual basis in accordance with the applicable accounting policies. Revenue is recognized when the significant risks and rewards of ownership are transferred to the customer. </w:t>
      </w:r>
    </w:p>
    <w:p w14:paraId="5F8120D2" w14:textId="77777777" w:rsidR="00041C83" w:rsidRDefault="00041C83" w:rsidP="00041C83">
      <w:pPr>
        <w:pStyle w:val="ListParagraph"/>
        <w:jc w:val="both"/>
        <w:rPr>
          <w:rFonts w:ascii="Book Antiqua" w:hAnsi="Book Antiqua" w:cs="Poppins"/>
          <w:sz w:val="22"/>
          <w:szCs w:val="22"/>
          <w:shd w:val="clear" w:color="auto" w:fill="FFFFFF"/>
        </w:rPr>
      </w:pPr>
    </w:p>
    <w:p w14:paraId="77D5041C" w14:textId="77777777" w:rsidR="00041C83" w:rsidRDefault="00041C83" w:rsidP="00041C83">
      <w:pPr>
        <w:pStyle w:val="ListParagraph"/>
        <w:jc w:val="both"/>
        <w:rPr>
          <w:rFonts w:ascii="Book Antiqua" w:hAnsi="Book Antiqua" w:cs="Poppins"/>
          <w:sz w:val="22"/>
          <w:szCs w:val="22"/>
          <w:shd w:val="clear" w:color="auto" w:fill="FFFFFF"/>
        </w:rPr>
      </w:pPr>
      <w:r w:rsidRPr="004B3FFA">
        <w:rPr>
          <w:rFonts w:ascii="Book Antiqua" w:hAnsi="Book Antiqua" w:cs="Poppins"/>
          <w:sz w:val="22"/>
          <w:szCs w:val="22"/>
          <w:shd w:val="clear" w:color="auto" w:fill="FFFFFF"/>
        </w:rPr>
        <w:t xml:space="preserve">Revenue is recognised to the extent that it is probable that economic benefits will flow to the Firm/Trust/Society/Entity and the amount of revenue can be reliably measured with no </w:t>
      </w:r>
      <w:proofErr w:type="spellStart"/>
      <w:r w:rsidRPr="004B3FFA">
        <w:rPr>
          <w:rFonts w:ascii="Book Antiqua" w:hAnsi="Book Antiqua" w:cs="Poppins"/>
          <w:sz w:val="22"/>
          <w:szCs w:val="22"/>
          <w:shd w:val="clear" w:color="auto" w:fill="FFFFFF"/>
        </w:rPr>
        <w:t>uncertainity</w:t>
      </w:r>
      <w:proofErr w:type="spellEnd"/>
      <w:r w:rsidRPr="004B3FFA">
        <w:rPr>
          <w:rFonts w:ascii="Book Antiqua" w:hAnsi="Book Antiqua" w:cs="Poppins"/>
          <w:sz w:val="22"/>
          <w:szCs w:val="22"/>
          <w:shd w:val="clear" w:color="auto" w:fill="FFFFFF"/>
        </w:rPr>
        <w:t xml:space="preserve"> as regards to the ultimate collection of such revenue.</w:t>
      </w:r>
    </w:p>
    <w:p w14:paraId="5E1B8225" w14:textId="77777777" w:rsidR="00C1504C" w:rsidRDefault="00C1504C" w:rsidP="00041C83">
      <w:pPr>
        <w:pStyle w:val="ListParagraph"/>
        <w:jc w:val="both"/>
        <w:rPr>
          <w:rFonts w:ascii="Book Antiqua" w:hAnsi="Book Antiqua" w:cs="Poppins"/>
          <w:sz w:val="22"/>
          <w:szCs w:val="22"/>
          <w:shd w:val="clear" w:color="auto" w:fill="FFFFFF"/>
        </w:rPr>
      </w:pPr>
    </w:p>
    <w:p w14:paraId="5DAA8F91" w14:textId="4224C6B2" w:rsidR="00C1504C" w:rsidRDefault="00C1504C" w:rsidP="00041C83">
      <w:pPr>
        <w:pStyle w:val="ListParagraph"/>
        <w:jc w:val="both"/>
        <w:rPr>
          <w:rFonts w:ascii="Book Antiqua" w:hAnsi="Book Antiqua" w:cs="Poppins"/>
          <w:sz w:val="22"/>
          <w:szCs w:val="22"/>
          <w:shd w:val="clear" w:color="auto" w:fill="FFFFFF"/>
        </w:rPr>
      </w:pPr>
      <w:r w:rsidRPr="00C1504C">
        <w:rPr>
          <w:rFonts w:ascii="Book Antiqua" w:hAnsi="Book Antiqua" w:cs="Poppins"/>
          <w:b/>
          <w:bCs/>
          <w:sz w:val="22"/>
          <w:szCs w:val="22"/>
          <w:shd w:val="clear" w:color="auto" w:fill="FFFFFF"/>
        </w:rPr>
        <w:t>In respect of Sale of Goods</w:t>
      </w:r>
      <w:r>
        <w:rPr>
          <w:rFonts w:ascii="Book Antiqua" w:hAnsi="Book Antiqua" w:cs="Poppins"/>
          <w:sz w:val="22"/>
          <w:szCs w:val="22"/>
          <w:shd w:val="clear" w:color="auto" w:fill="FFFFFF"/>
        </w:rPr>
        <w:t>,</w:t>
      </w:r>
    </w:p>
    <w:p w14:paraId="0CFC6993" w14:textId="2C34EAB9"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 xml:space="preserve">performance </w:t>
      </w:r>
      <w:r>
        <w:rPr>
          <w:rFonts w:ascii="Book Antiqua" w:hAnsi="Book Antiqua" w:cs="Poppins"/>
          <w:sz w:val="22"/>
          <w:szCs w:val="22"/>
          <w:shd w:val="clear" w:color="auto" w:fill="FFFFFF"/>
        </w:rPr>
        <w:t>is</w:t>
      </w:r>
      <w:r w:rsidRPr="00C1504C">
        <w:rPr>
          <w:rFonts w:ascii="Book Antiqua" w:hAnsi="Book Antiqua" w:cs="Poppins"/>
          <w:sz w:val="22"/>
          <w:szCs w:val="22"/>
          <w:shd w:val="clear" w:color="auto" w:fill="FFFFFF"/>
        </w:rPr>
        <w:t xml:space="preserve"> regarded as being achieved when the following conditions have been fulfilled:</w:t>
      </w:r>
    </w:p>
    <w:p w14:paraId="71AC9432" w14:textId="77777777" w:rsidR="00C1504C" w:rsidRDefault="00C1504C" w:rsidP="00C1504C">
      <w:pPr>
        <w:pStyle w:val="ListParagraph"/>
        <w:jc w:val="both"/>
        <w:rPr>
          <w:rFonts w:ascii="Book Antiqua" w:hAnsi="Book Antiqua" w:cs="Poppins"/>
          <w:sz w:val="22"/>
          <w:szCs w:val="22"/>
          <w:shd w:val="clear" w:color="auto" w:fill="FFFFFF"/>
        </w:rPr>
      </w:pPr>
    </w:p>
    <w:p w14:paraId="4A6AF682" w14:textId="69836AFE"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w:t>
      </w:r>
      <w:proofErr w:type="spellStart"/>
      <w:r w:rsidRPr="00C1504C">
        <w:rPr>
          <w:rFonts w:ascii="Book Antiqua" w:hAnsi="Book Antiqua" w:cs="Poppins"/>
          <w:sz w:val="22"/>
          <w:szCs w:val="22"/>
          <w:shd w:val="clear" w:color="auto" w:fill="FFFFFF"/>
        </w:rPr>
        <w:t>i</w:t>
      </w:r>
      <w:proofErr w:type="spellEnd"/>
      <w:r w:rsidRPr="00C1504C">
        <w:rPr>
          <w:rFonts w:ascii="Book Antiqua" w:hAnsi="Book Antiqua" w:cs="Poppins"/>
          <w:sz w:val="22"/>
          <w:szCs w:val="22"/>
          <w:shd w:val="clear" w:color="auto" w:fill="FFFFFF"/>
        </w:rPr>
        <w:t>) the seller of goods has transferred to the buyer the property in the goods for a price or all significant risks and rewards of ownership have been transferred to the buyer and the seller retains no effective control of the goods transferred to a degree usually associated with ownership; and</w:t>
      </w:r>
    </w:p>
    <w:p w14:paraId="2090AE82" w14:textId="77777777" w:rsidR="00C1504C" w:rsidRDefault="00C1504C" w:rsidP="00C1504C">
      <w:pPr>
        <w:pStyle w:val="ListParagraph"/>
        <w:jc w:val="both"/>
        <w:rPr>
          <w:rFonts w:ascii="Book Antiqua" w:hAnsi="Book Antiqua" w:cs="Poppins"/>
          <w:sz w:val="22"/>
          <w:szCs w:val="22"/>
          <w:shd w:val="clear" w:color="auto" w:fill="FFFFFF"/>
        </w:rPr>
      </w:pPr>
    </w:p>
    <w:p w14:paraId="047FA55C" w14:textId="1FC9ECDD" w:rsidR="00C1504C" w:rsidRPr="00C1504C" w:rsidRDefault="00C1504C" w:rsidP="00C1504C">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(ii) no significant uncertainty exists regarding the amount of the consideration that will be derived from the sale of the goods.</w:t>
      </w:r>
    </w:p>
    <w:p w14:paraId="268CBD9B" w14:textId="77777777" w:rsidR="00C1504C" w:rsidRDefault="00C1504C" w:rsidP="00041C83">
      <w:pPr>
        <w:pStyle w:val="ListParagraph"/>
        <w:jc w:val="both"/>
        <w:rPr>
          <w:rFonts w:ascii="Book Antiqua" w:hAnsi="Book Antiqua" w:cs="Poppins"/>
          <w:sz w:val="22"/>
          <w:szCs w:val="22"/>
          <w:shd w:val="clear" w:color="auto" w:fill="FFFFFF"/>
        </w:rPr>
      </w:pPr>
    </w:p>
    <w:p w14:paraId="11D1243A" w14:textId="2A59F485" w:rsidR="00C1504C" w:rsidRDefault="00C1504C" w:rsidP="00041C83">
      <w:pPr>
        <w:pStyle w:val="ListParagraph"/>
        <w:jc w:val="both"/>
        <w:rPr>
          <w:rFonts w:ascii="Book Antiqua" w:hAnsi="Book Antiqua" w:cs="Poppins"/>
          <w:sz w:val="22"/>
          <w:szCs w:val="22"/>
          <w:shd w:val="clear" w:color="auto" w:fill="FFFFFF"/>
        </w:rPr>
      </w:pPr>
      <w:r w:rsidRPr="00C1504C">
        <w:rPr>
          <w:rFonts w:ascii="Book Antiqua" w:hAnsi="Book Antiqua" w:cs="Poppins"/>
          <w:b/>
          <w:bCs/>
          <w:sz w:val="22"/>
          <w:szCs w:val="22"/>
          <w:shd w:val="clear" w:color="auto" w:fill="FFFFFF"/>
        </w:rPr>
        <w:t xml:space="preserve">In respect of Sale of </w:t>
      </w:r>
      <w:r w:rsidRPr="00C1504C">
        <w:rPr>
          <w:rFonts w:ascii="Book Antiqua" w:hAnsi="Book Antiqua" w:cs="Poppins"/>
          <w:b/>
          <w:bCs/>
          <w:sz w:val="22"/>
          <w:szCs w:val="22"/>
          <w:shd w:val="clear" w:color="auto" w:fill="FFFFFF"/>
        </w:rPr>
        <w:t>Services</w:t>
      </w:r>
      <w:r>
        <w:rPr>
          <w:rFonts w:ascii="Book Antiqua" w:hAnsi="Book Antiqua" w:cs="Poppins"/>
          <w:sz w:val="22"/>
          <w:szCs w:val="22"/>
          <w:shd w:val="clear" w:color="auto" w:fill="FFFFFF"/>
        </w:rPr>
        <w:t>,</w:t>
      </w:r>
    </w:p>
    <w:p w14:paraId="6020BDAD" w14:textId="07913B70" w:rsidR="00C1504C" w:rsidRDefault="00C1504C" w:rsidP="00041C83">
      <w:pPr>
        <w:pStyle w:val="ListParagraph"/>
        <w:jc w:val="both"/>
        <w:rPr>
          <w:rFonts w:ascii="Book Antiqua" w:hAnsi="Book Antiqua" w:cs="Poppins"/>
          <w:sz w:val="22"/>
          <w:szCs w:val="22"/>
          <w:shd w:val="clear" w:color="auto" w:fill="FFFFFF"/>
        </w:rPr>
      </w:pPr>
      <w:r w:rsidRPr="00C1504C">
        <w:rPr>
          <w:rFonts w:ascii="Book Antiqua" w:hAnsi="Book Antiqua" w:cs="Poppins"/>
          <w:sz w:val="22"/>
          <w:szCs w:val="22"/>
          <w:shd w:val="clear" w:color="auto" w:fill="FFFFFF"/>
        </w:rPr>
        <w:t xml:space="preserve">performance </w:t>
      </w:r>
      <w:r>
        <w:rPr>
          <w:rFonts w:ascii="Book Antiqua" w:hAnsi="Book Antiqua" w:cs="Poppins"/>
          <w:sz w:val="22"/>
          <w:szCs w:val="22"/>
          <w:shd w:val="clear" w:color="auto" w:fill="FFFFFF"/>
        </w:rPr>
        <w:t xml:space="preserve">is </w:t>
      </w:r>
      <w:r w:rsidRPr="00C1504C">
        <w:rPr>
          <w:rFonts w:ascii="Book Antiqua" w:hAnsi="Book Antiqua" w:cs="Poppins"/>
          <w:sz w:val="22"/>
          <w:szCs w:val="22"/>
          <w:shd w:val="clear" w:color="auto" w:fill="FFFFFF"/>
        </w:rPr>
        <w:t xml:space="preserve">measured either under the completed service contract method </w:t>
      </w:r>
      <w:r>
        <w:rPr>
          <w:rFonts w:ascii="Book Antiqua" w:hAnsi="Book Antiqua" w:cs="Poppins"/>
          <w:sz w:val="22"/>
          <w:szCs w:val="22"/>
          <w:shd w:val="clear" w:color="auto" w:fill="FFFFFF"/>
        </w:rPr>
        <w:t>/</w:t>
      </w:r>
      <w:r w:rsidRPr="00C1504C">
        <w:rPr>
          <w:rFonts w:ascii="Book Antiqua" w:hAnsi="Book Antiqua" w:cs="Poppins"/>
          <w:sz w:val="22"/>
          <w:szCs w:val="22"/>
          <w:shd w:val="clear" w:color="auto" w:fill="FFFFFF"/>
        </w:rPr>
        <w:t xml:space="preserve"> under the proportionate completion method </w:t>
      </w:r>
      <w:r w:rsidR="00724B5F">
        <w:rPr>
          <w:rFonts w:ascii="Book Antiqua" w:hAnsi="Book Antiqua" w:cs="Poppins"/>
          <w:sz w:val="22"/>
          <w:szCs w:val="22"/>
          <w:shd w:val="clear" w:color="auto" w:fill="FFFFFF"/>
        </w:rPr>
        <w:t xml:space="preserve">(select </w:t>
      </w:r>
      <w:r w:rsidRPr="00C1504C">
        <w:rPr>
          <w:rFonts w:ascii="Book Antiqua" w:hAnsi="Book Antiqua" w:cs="Poppins"/>
          <w:sz w:val="22"/>
          <w:szCs w:val="22"/>
          <w:shd w:val="clear" w:color="auto" w:fill="FFFFFF"/>
        </w:rPr>
        <w:t>whichever relates the revenue to the work accomplished</w:t>
      </w:r>
      <w:r w:rsidR="00724B5F">
        <w:rPr>
          <w:rFonts w:ascii="Book Antiqua" w:hAnsi="Book Antiqua" w:cs="Poppins"/>
          <w:sz w:val="22"/>
          <w:szCs w:val="22"/>
          <w:shd w:val="clear" w:color="auto" w:fill="FFFFFF"/>
        </w:rPr>
        <w:t>)</w:t>
      </w:r>
      <w:r w:rsidRPr="00C1504C">
        <w:rPr>
          <w:rFonts w:ascii="Book Antiqua" w:hAnsi="Book Antiqua" w:cs="Poppins"/>
          <w:sz w:val="22"/>
          <w:szCs w:val="22"/>
          <w:shd w:val="clear" w:color="auto" w:fill="FFFFFF"/>
        </w:rPr>
        <w:t xml:space="preserve">. Such performance </w:t>
      </w:r>
      <w:r w:rsidR="00724B5F">
        <w:rPr>
          <w:rFonts w:ascii="Book Antiqua" w:hAnsi="Book Antiqua" w:cs="Poppins"/>
          <w:sz w:val="22"/>
          <w:szCs w:val="22"/>
          <w:shd w:val="clear" w:color="auto" w:fill="FFFFFF"/>
        </w:rPr>
        <w:t>is</w:t>
      </w:r>
      <w:r w:rsidRPr="00C1504C">
        <w:rPr>
          <w:rFonts w:ascii="Book Antiqua" w:hAnsi="Book Antiqua" w:cs="Poppins"/>
          <w:sz w:val="22"/>
          <w:szCs w:val="22"/>
          <w:shd w:val="clear" w:color="auto" w:fill="FFFFFF"/>
        </w:rPr>
        <w:t xml:space="preserve"> regarded as being achieved when no significant uncertainty exists regarding the amount of the consideration that will be derived from rendering the service.</w:t>
      </w:r>
    </w:p>
    <w:p w14:paraId="63909114" w14:textId="77777777" w:rsidR="00C1504C" w:rsidRDefault="00C1504C" w:rsidP="00041C83">
      <w:pPr>
        <w:pStyle w:val="ListParagraph"/>
        <w:jc w:val="both"/>
        <w:rPr>
          <w:rFonts w:ascii="Book Antiqua" w:hAnsi="Book Antiqua" w:cs="Poppins"/>
          <w:sz w:val="22"/>
          <w:szCs w:val="22"/>
          <w:shd w:val="clear" w:color="auto" w:fill="FFFFFF"/>
        </w:rPr>
      </w:pPr>
    </w:p>
    <w:p w14:paraId="25D9DAF6" w14:textId="52EC31AB" w:rsidR="00724B5F" w:rsidRPr="00724B5F" w:rsidRDefault="00724B5F" w:rsidP="00724B5F">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lastRenderedPageBreak/>
        <w:t>In respect of other</w:t>
      </w:r>
      <w:r w:rsidRPr="00724B5F">
        <w:rPr>
          <w:rFonts w:ascii="Book Antiqua" w:hAnsi="Book Antiqua" w:cs="Poppins"/>
          <w:sz w:val="22"/>
          <w:szCs w:val="22"/>
          <w:shd w:val="clear" w:color="auto" w:fill="FFFFFF"/>
        </w:rPr>
        <w:t xml:space="preserve"> revenues</w:t>
      </w:r>
      <w:r>
        <w:rPr>
          <w:rFonts w:ascii="Book Antiqua" w:hAnsi="Book Antiqua" w:cs="Poppins"/>
          <w:sz w:val="22"/>
          <w:szCs w:val="22"/>
          <w:shd w:val="clear" w:color="auto" w:fill="FFFFFF"/>
        </w:rPr>
        <w:t>, the same</w:t>
      </w:r>
      <w:r w:rsidRPr="00724B5F">
        <w:rPr>
          <w:rFonts w:ascii="Book Antiqua" w:hAnsi="Book Antiqua" w:cs="Poppins"/>
          <w:sz w:val="22"/>
          <w:szCs w:val="22"/>
          <w:shd w:val="clear" w:color="auto" w:fill="FFFFFF"/>
        </w:rPr>
        <w:t xml:space="preserve"> are recognised on the following bases:</w:t>
      </w:r>
    </w:p>
    <w:tbl>
      <w:tblPr>
        <w:tblW w:w="95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6968"/>
      </w:tblGrid>
      <w:tr w:rsidR="00724B5F" w:rsidRPr="00724B5F" w14:paraId="5CC810A4" w14:textId="77777777" w:rsidTr="00724B5F">
        <w:trPr>
          <w:tblCellSpacing w:w="15" w:type="dxa"/>
        </w:trPr>
        <w:tc>
          <w:tcPr>
            <w:tcW w:w="2507" w:type="dxa"/>
            <w:vAlign w:val="center"/>
            <w:hideMark/>
          </w:tcPr>
          <w:p w14:paraId="31B1E65C" w14:textId="77777777" w:rsidR="00724B5F" w:rsidRPr="00724B5F" w:rsidRDefault="00724B5F" w:rsidP="00724B5F">
            <w:pPr>
              <w:pStyle w:val="ListParagraph"/>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t>(</w:t>
            </w:r>
            <w:proofErr w:type="spellStart"/>
            <w:r w:rsidRPr="00724B5F">
              <w:rPr>
                <w:rFonts w:ascii="Book Antiqua" w:hAnsi="Book Antiqua" w:cs="Poppins"/>
                <w:sz w:val="22"/>
                <w:szCs w:val="22"/>
                <w:shd w:val="clear" w:color="auto" w:fill="FFFFFF"/>
              </w:rPr>
              <w:t>i</w:t>
            </w:r>
            <w:proofErr w:type="spellEnd"/>
            <w:r w:rsidRPr="00724B5F">
              <w:rPr>
                <w:rFonts w:ascii="Book Antiqua" w:hAnsi="Book Antiqua" w:cs="Poppins"/>
                <w:sz w:val="22"/>
                <w:szCs w:val="22"/>
                <w:shd w:val="clear" w:color="auto" w:fill="FFFFFF"/>
              </w:rPr>
              <w:t xml:space="preserve">) </w:t>
            </w:r>
            <w:proofErr w:type="gramStart"/>
            <w:r w:rsidRPr="00724B5F">
              <w:rPr>
                <w:rFonts w:ascii="Book Antiqua" w:hAnsi="Book Antiqua" w:cs="Poppins"/>
                <w:sz w:val="22"/>
                <w:szCs w:val="22"/>
                <w:shd w:val="clear" w:color="auto" w:fill="FFFFFF"/>
              </w:rPr>
              <w:t>Interest :</w:t>
            </w:r>
            <w:proofErr w:type="gramEnd"/>
            <w:r w:rsidRPr="00724B5F">
              <w:rPr>
                <w:rFonts w:ascii="Book Antiqua" w:hAnsi="Book Antiqua" w:cs="Poppins"/>
                <w:sz w:val="22"/>
                <w:szCs w:val="22"/>
                <w:shd w:val="clear" w:color="auto" w:fill="FFFFFF"/>
              </w:rPr>
              <w:t xml:space="preserve"> </w:t>
            </w:r>
          </w:p>
        </w:tc>
        <w:tc>
          <w:tcPr>
            <w:tcW w:w="0" w:type="auto"/>
            <w:vAlign w:val="center"/>
            <w:hideMark/>
          </w:tcPr>
          <w:p w14:paraId="10DF2CD8" w14:textId="77777777" w:rsidR="00724B5F" w:rsidRPr="00724B5F" w:rsidRDefault="00724B5F" w:rsidP="00724B5F">
            <w:pPr>
              <w:pStyle w:val="ListParagraph"/>
              <w:ind w:left="114"/>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t xml:space="preserve">on a </w:t>
            </w:r>
            <w:proofErr w:type="gramStart"/>
            <w:r w:rsidRPr="00724B5F">
              <w:rPr>
                <w:rFonts w:ascii="Book Antiqua" w:hAnsi="Book Antiqua" w:cs="Poppins"/>
                <w:sz w:val="22"/>
                <w:szCs w:val="22"/>
                <w:shd w:val="clear" w:color="auto" w:fill="FFFFFF"/>
              </w:rPr>
              <w:t>time</w:t>
            </w:r>
            <w:proofErr w:type="gramEnd"/>
            <w:r w:rsidRPr="00724B5F">
              <w:rPr>
                <w:rFonts w:ascii="Book Antiqua" w:hAnsi="Book Antiqua" w:cs="Poppins"/>
                <w:sz w:val="22"/>
                <w:szCs w:val="22"/>
                <w:shd w:val="clear" w:color="auto" w:fill="FFFFFF"/>
              </w:rPr>
              <w:t xml:space="preserve"> proportion basis </w:t>
            </w:r>
            <w:proofErr w:type="gramStart"/>
            <w:r w:rsidRPr="00724B5F">
              <w:rPr>
                <w:rFonts w:ascii="Book Antiqua" w:hAnsi="Book Antiqua" w:cs="Poppins"/>
                <w:sz w:val="22"/>
                <w:szCs w:val="22"/>
                <w:shd w:val="clear" w:color="auto" w:fill="FFFFFF"/>
              </w:rPr>
              <w:t>taking into account</w:t>
            </w:r>
            <w:proofErr w:type="gramEnd"/>
            <w:r w:rsidRPr="00724B5F">
              <w:rPr>
                <w:rFonts w:ascii="Book Antiqua" w:hAnsi="Book Antiqua" w:cs="Poppins"/>
                <w:sz w:val="22"/>
                <w:szCs w:val="22"/>
                <w:shd w:val="clear" w:color="auto" w:fill="FFFFFF"/>
              </w:rPr>
              <w:t xml:space="preserve"> the amount outstanding and the rate applicable.</w:t>
            </w:r>
          </w:p>
        </w:tc>
      </w:tr>
      <w:tr w:rsidR="00724B5F" w:rsidRPr="00724B5F" w14:paraId="3E2BD8A1" w14:textId="77777777" w:rsidTr="00724B5F">
        <w:trPr>
          <w:tblCellSpacing w:w="15" w:type="dxa"/>
        </w:trPr>
        <w:tc>
          <w:tcPr>
            <w:tcW w:w="2507" w:type="dxa"/>
            <w:vAlign w:val="center"/>
            <w:hideMark/>
          </w:tcPr>
          <w:p w14:paraId="023349EF" w14:textId="77777777" w:rsidR="00724B5F" w:rsidRPr="00724B5F" w:rsidRDefault="00724B5F" w:rsidP="00724B5F">
            <w:pPr>
              <w:pStyle w:val="ListParagraph"/>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t xml:space="preserve">(ii) </w:t>
            </w:r>
            <w:proofErr w:type="gramStart"/>
            <w:r w:rsidRPr="00724B5F">
              <w:rPr>
                <w:rFonts w:ascii="Book Antiqua" w:hAnsi="Book Antiqua" w:cs="Poppins"/>
                <w:sz w:val="22"/>
                <w:szCs w:val="22"/>
                <w:shd w:val="clear" w:color="auto" w:fill="FFFFFF"/>
              </w:rPr>
              <w:t>Royalties :</w:t>
            </w:r>
            <w:proofErr w:type="gramEnd"/>
            <w:r w:rsidRPr="00724B5F">
              <w:rPr>
                <w:rFonts w:ascii="Book Antiqua" w:hAnsi="Book Antiqua" w:cs="Poppins"/>
                <w:sz w:val="22"/>
                <w:szCs w:val="22"/>
                <w:shd w:val="clear" w:color="auto" w:fill="FFFFFF"/>
              </w:rPr>
              <w:t xml:space="preserve"> </w:t>
            </w:r>
          </w:p>
        </w:tc>
        <w:tc>
          <w:tcPr>
            <w:tcW w:w="0" w:type="auto"/>
            <w:vAlign w:val="center"/>
            <w:hideMark/>
          </w:tcPr>
          <w:p w14:paraId="04A80DF3" w14:textId="77777777" w:rsidR="00724B5F" w:rsidRPr="00724B5F" w:rsidRDefault="00724B5F" w:rsidP="00724B5F">
            <w:pPr>
              <w:pStyle w:val="ListParagraph"/>
              <w:ind w:left="114"/>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t>on an accrual basis in accordance with the terms of the relevant agreement.</w:t>
            </w:r>
          </w:p>
        </w:tc>
      </w:tr>
      <w:tr w:rsidR="00724B5F" w:rsidRPr="00724B5F" w14:paraId="5CFD25AF" w14:textId="77777777" w:rsidTr="00724B5F">
        <w:trPr>
          <w:tblCellSpacing w:w="15" w:type="dxa"/>
        </w:trPr>
        <w:tc>
          <w:tcPr>
            <w:tcW w:w="2507" w:type="dxa"/>
            <w:vAlign w:val="center"/>
            <w:hideMark/>
          </w:tcPr>
          <w:p w14:paraId="33226F8C" w14:textId="2164F5B6" w:rsidR="00724B5F" w:rsidRPr="00724B5F" w:rsidRDefault="00724B5F" w:rsidP="00724B5F">
            <w:pPr>
              <w:pStyle w:val="ListParagraph"/>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t>(iii) Dividends</w:t>
            </w:r>
          </w:p>
        </w:tc>
        <w:tc>
          <w:tcPr>
            <w:tcW w:w="0" w:type="auto"/>
            <w:vAlign w:val="center"/>
            <w:hideMark/>
          </w:tcPr>
          <w:p w14:paraId="4B1E1AF6" w14:textId="391744ED" w:rsidR="00724B5F" w:rsidRPr="00724B5F" w:rsidRDefault="00724B5F" w:rsidP="00724B5F">
            <w:pPr>
              <w:pStyle w:val="ListParagraph"/>
              <w:ind w:left="114"/>
              <w:jc w:val="both"/>
              <w:rPr>
                <w:rFonts w:ascii="Book Antiqua" w:hAnsi="Book Antiqua" w:cs="Poppins"/>
                <w:sz w:val="22"/>
                <w:szCs w:val="22"/>
                <w:shd w:val="clear" w:color="auto" w:fill="FFFFFF"/>
              </w:rPr>
            </w:pPr>
            <w:r w:rsidRPr="00724B5F">
              <w:rPr>
                <w:rFonts w:ascii="Book Antiqua" w:hAnsi="Book Antiqua" w:cs="Poppins"/>
                <w:sz w:val="22"/>
                <w:szCs w:val="22"/>
                <w:shd w:val="clear" w:color="auto" w:fill="FFFFFF"/>
              </w:rPr>
              <w:t>when the right to receive payment is established.</w:t>
            </w:r>
          </w:p>
        </w:tc>
      </w:tr>
    </w:tbl>
    <w:p w14:paraId="650138A7" w14:textId="77777777" w:rsidR="00C1504C" w:rsidRDefault="00C1504C" w:rsidP="00041C83">
      <w:pPr>
        <w:pStyle w:val="ListParagraph"/>
        <w:jc w:val="both"/>
        <w:rPr>
          <w:rFonts w:ascii="Book Antiqua" w:hAnsi="Book Antiqua" w:cs="Poppins"/>
          <w:sz w:val="22"/>
          <w:szCs w:val="22"/>
          <w:shd w:val="clear" w:color="auto" w:fill="FFFFFF"/>
        </w:rPr>
      </w:pPr>
    </w:p>
    <w:p w14:paraId="41F18FEF" w14:textId="77777777" w:rsidR="00C1504C" w:rsidRPr="004B3FFA" w:rsidRDefault="00C1504C" w:rsidP="00041C83">
      <w:pPr>
        <w:pStyle w:val="ListParagraph"/>
        <w:jc w:val="both"/>
        <w:rPr>
          <w:rFonts w:ascii="Book Antiqua" w:hAnsi="Book Antiqua" w:cs="Poppins"/>
          <w:sz w:val="22"/>
          <w:szCs w:val="22"/>
          <w:shd w:val="clear" w:color="auto" w:fill="FFFFFF"/>
        </w:rPr>
      </w:pPr>
    </w:p>
    <w:p w14:paraId="6C570585" w14:textId="25115AE3" w:rsidR="008D25DB" w:rsidRPr="008D25DB" w:rsidRDefault="008D25DB" w:rsidP="008D25DB">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 xml:space="preserve">Plant, Property and Equipment (Fixed </w:t>
      </w:r>
      <w:proofErr w:type="gramStart"/>
      <w:r>
        <w:rPr>
          <w:rFonts w:ascii="Book Antiqua" w:hAnsi="Book Antiqua" w:cs="Poppins"/>
          <w:b/>
          <w:bCs/>
          <w:sz w:val="22"/>
          <w:szCs w:val="22"/>
          <w:shd w:val="clear" w:color="auto" w:fill="FFFFFF"/>
        </w:rPr>
        <w:t>Assets :</w:t>
      </w:r>
      <w:proofErr w:type="gramEnd"/>
      <w:r>
        <w:rPr>
          <w:rFonts w:ascii="Book Antiqua" w:hAnsi="Book Antiqua" w:cs="Poppins"/>
          <w:b/>
          <w:bCs/>
          <w:sz w:val="22"/>
          <w:szCs w:val="22"/>
          <w:shd w:val="clear" w:color="auto" w:fill="FFFFFF"/>
        </w:rPr>
        <w:t xml:space="preserve"> AS – 10)</w:t>
      </w:r>
    </w:p>
    <w:p w14:paraId="7E64662E" w14:textId="77777777" w:rsidR="008D25DB" w:rsidRDefault="008D25DB" w:rsidP="008D25DB">
      <w:pPr>
        <w:pStyle w:val="ListParagraph"/>
        <w:jc w:val="both"/>
        <w:rPr>
          <w:rFonts w:ascii="Book Antiqua" w:hAnsi="Book Antiqua" w:cs="Poppins"/>
          <w:sz w:val="22"/>
          <w:szCs w:val="22"/>
          <w:shd w:val="clear" w:color="auto" w:fill="FFFFFF"/>
        </w:rPr>
      </w:pPr>
    </w:p>
    <w:p w14:paraId="2F88A2FE" w14:textId="25D8849E" w:rsidR="008D25DB" w:rsidRDefault="008D25DB" w:rsidP="008D25DB">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No revaluation of fixed assets has been carried out during the year. </w:t>
      </w:r>
    </w:p>
    <w:p w14:paraId="27E1ABB0" w14:textId="77777777" w:rsidR="008D25DB" w:rsidRDefault="008D25DB" w:rsidP="008D25DB">
      <w:pPr>
        <w:pStyle w:val="ListParagraph"/>
        <w:jc w:val="both"/>
        <w:rPr>
          <w:rFonts w:ascii="Book Antiqua" w:hAnsi="Book Antiqua" w:cs="Poppins"/>
          <w:sz w:val="22"/>
          <w:szCs w:val="22"/>
          <w:shd w:val="clear" w:color="auto" w:fill="FFFFFF"/>
        </w:rPr>
      </w:pPr>
    </w:p>
    <w:p w14:paraId="1784485F" w14:textId="77777777" w:rsidR="008D25DB" w:rsidRDefault="008D25DB" w:rsidP="008D25DB">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[Where the entity does not hold any immovable property]</w:t>
      </w:r>
    </w:p>
    <w:p w14:paraId="48D91849" w14:textId="77777777" w:rsidR="008D25DB" w:rsidRPr="00041C83" w:rsidRDefault="008D25DB" w:rsidP="008D25DB">
      <w:pPr>
        <w:pStyle w:val="ListParagraph"/>
        <w:jc w:val="both"/>
        <w:rPr>
          <w:rFonts w:ascii="Book Antiqua" w:hAnsi="Book Antiqua" w:cs="Poppins"/>
          <w:sz w:val="22"/>
          <w:szCs w:val="22"/>
          <w:shd w:val="clear" w:color="auto" w:fill="FFFFFF"/>
        </w:rPr>
      </w:pPr>
      <w:r w:rsidRPr="00041C83">
        <w:rPr>
          <w:rFonts w:ascii="Book Antiqua" w:hAnsi="Book Antiqua" w:cs="Poppins"/>
          <w:sz w:val="22"/>
          <w:szCs w:val="22"/>
          <w:shd w:val="clear" w:color="auto" w:fill="FFFFFF"/>
        </w:rPr>
        <w:t xml:space="preserve">The </w:t>
      </w:r>
      <w:r w:rsidRPr="00DE7B24">
        <w:rPr>
          <w:rFonts w:ascii="Book Antiqua" w:hAnsi="Book Antiqua" w:cs="Poppins"/>
          <w:sz w:val="22"/>
          <w:szCs w:val="22"/>
          <w:shd w:val="clear" w:color="auto" w:fill="FFFFFF"/>
        </w:rPr>
        <w:t>Firm/Trust/Society/Entity</w:t>
      </w:r>
      <w:r w:rsidRPr="00041C83">
        <w:rPr>
          <w:rFonts w:ascii="Book Antiqua" w:hAnsi="Book Antiqua" w:cs="Poppins"/>
          <w:sz w:val="22"/>
          <w:szCs w:val="22"/>
          <w:shd w:val="clear" w:color="auto" w:fill="FFFFFF"/>
        </w:rPr>
        <w:t xml:space="preserve"> does not h</w:t>
      </w:r>
      <w:r>
        <w:rPr>
          <w:rFonts w:ascii="Book Antiqua" w:hAnsi="Book Antiqua" w:cs="Poppins"/>
          <w:sz w:val="22"/>
          <w:szCs w:val="22"/>
          <w:shd w:val="clear" w:color="auto" w:fill="FFFFFF"/>
        </w:rPr>
        <w:t>old</w:t>
      </w:r>
      <w:r w:rsidRPr="00041C83">
        <w:rPr>
          <w:rFonts w:ascii="Book Antiqua" w:hAnsi="Book Antiqua" w:cs="Poppins"/>
          <w:sz w:val="22"/>
          <w:szCs w:val="22"/>
          <w:shd w:val="clear" w:color="auto" w:fill="FFFFFF"/>
        </w:rPr>
        <w:t xml:space="preserve"> any immovable property.</w:t>
      </w:r>
    </w:p>
    <w:p w14:paraId="4B859610" w14:textId="77777777" w:rsidR="008D25DB" w:rsidRDefault="008D25DB" w:rsidP="008D25DB">
      <w:pPr>
        <w:pStyle w:val="ListParagraph"/>
        <w:jc w:val="both"/>
        <w:rPr>
          <w:rFonts w:ascii="Book Antiqua" w:hAnsi="Book Antiqua" w:cs="Poppins"/>
          <w:b/>
          <w:bCs/>
          <w:sz w:val="22"/>
          <w:szCs w:val="22"/>
          <w:shd w:val="clear" w:color="auto" w:fill="FFFFFF"/>
        </w:rPr>
      </w:pPr>
    </w:p>
    <w:p w14:paraId="5EDAD314" w14:textId="77777777" w:rsidR="008D25DB" w:rsidRDefault="008D25DB" w:rsidP="008D25DB">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[Where the entity holds immovable property]</w:t>
      </w:r>
    </w:p>
    <w:p w14:paraId="3B2F70BB" w14:textId="0578C3A3" w:rsidR="008D25DB" w:rsidRPr="008D25DB" w:rsidRDefault="008D25DB" w:rsidP="008D25DB">
      <w:pPr>
        <w:pStyle w:val="ListParagraph"/>
        <w:jc w:val="both"/>
        <w:rPr>
          <w:rFonts w:ascii="Book Antiqua" w:hAnsi="Book Antiqua" w:cs="Poppins"/>
          <w:sz w:val="22"/>
          <w:szCs w:val="22"/>
          <w:shd w:val="clear" w:color="auto" w:fill="FFFFFF"/>
        </w:rPr>
      </w:pPr>
      <w:r w:rsidRPr="00041C83">
        <w:rPr>
          <w:rFonts w:ascii="Book Antiqua" w:hAnsi="Book Antiqua" w:cs="Poppins"/>
          <w:sz w:val="22"/>
          <w:szCs w:val="22"/>
          <w:shd w:val="clear" w:color="auto" w:fill="FFFFFF"/>
        </w:rPr>
        <w:t xml:space="preserve">The </w:t>
      </w:r>
      <w:r>
        <w:rPr>
          <w:rFonts w:ascii="Book Antiqua" w:hAnsi="Book Antiqua" w:cs="Poppins"/>
          <w:sz w:val="22"/>
          <w:szCs w:val="22"/>
          <w:shd w:val="clear" w:color="auto" w:fill="FFFFFF"/>
        </w:rPr>
        <w:t xml:space="preserve">title deeds of the immovable properties held by the </w:t>
      </w:r>
      <w:r w:rsidRPr="00DE7B24">
        <w:rPr>
          <w:rFonts w:ascii="Book Antiqua" w:hAnsi="Book Antiqua" w:cs="Poppins"/>
          <w:sz w:val="22"/>
          <w:szCs w:val="22"/>
          <w:shd w:val="clear" w:color="auto" w:fill="FFFFFF"/>
        </w:rPr>
        <w:t>Firm/Trust/Society/Entity</w:t>
      </w:r>
      <w:r>
        <w:rPr>
          <w:rFonts w:ascii="Book Antiqua" w:hAnsi="Book Antiqua" w:cs="Poppins"/>
          <w:sz w:val="22"/>
          <w:szCs w:val="22"/>
          <w:shd w:val="clear" w:color="auto" w:fill="FFFFFF"/>
        </w:rPr>
        <w:t xml:space="preserve"> are clear and free of any encumbrance other than those stated under the relevant notes to fixed assets</w:t>
      </w:r>
      <w:r w:rsidRPr="00041C83">
        <w:rPr>
          <w:rFonts w:ascii="Book Antiqua" w:hAnsi="Book Antiqua" w:cs="Poppins"/>
          <w:sz w:val="22"/>
          <w:szCs w:val="22"/>
          <w:shd w:val="clear" w:color="auto" w:fill="FFFFFF"/>
        </w:rPr>
        <w:t>.</w:t>
      </w:r>
    </w:p>
    <w:p w14:paraId="4CD1FE5F" w14:textId="77777777" w:rsidR="00041C83" w:rsidRDefault="00041C83" w:rsidP="00041C83">
      <w:pPr>
        <w:pStyle w:val="ListParagraph"/>
        <w:jc w:val="both"/>
        <w:rPr>
          <w:rFonts w:ascii="Book Antiqua" w:hAnsi="Book Antiqua" w:cs="Poppins"/>
          <w:b/>
          <w:bCs/>
          <w:sz w:val="22"/>
          <w:szCs w:val="22"/>
          <w:shd w:val="clear" w:color="auto" w:fill="FFFFFF"/>
        </w:rPr>
      </w:pPr>
    </w:p>
    <w:p w14:paraId="7808F422" w14:textId="1A2AEAE1" w:rsidR="00FD4CF5" w:rsidRDefault="00FD4CF5" w:rsidP="00041C83">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Government Grants (AS – 12)</w:t>
      </w:r>
    </w:p>
    <w:p w14:paraId="6409F013" w14:textId="77777777" w:rsidR="00FD4CF5" w:rsidRDefault="00FD4CF5" w:rsidP="00FD4CF5">
      <w:pPr>
        <w:pStyle w:val="ListParagraph"/>
        <w:jc w:val="both"/>
        <w:rPr>
          <w:rFonts w:ascii="Book Antiqua" w:hAnsi="Book Antiqua" w:cs="Poppins"/>
          <w:sz w:val="22"/>
          <w:szCs w:val="22"/>
          <w:shd w:val="clear" w:color="auto" w:fill="FFFFFF"/>
        </w:rPr>
      </w:pPr>
    </w:p>
    <w:p w14:paraId="2243A30F" w14:textId="3F61AE70" w:rsidR="005028E6" w:rsidRDefault="005028E6" w:rsidP="00FD4CF5">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(to be disclosed only by entities in receipt of Government Grants/subsidies)</w:t>
      </w:r>
    </w:p>
    <w:p w14:paraId="0BAE8086" w14:textId="77777777" w:rsidR="005028E6" w:rsidRDefault="005028E6" w:rsidP="00FD4CF5">
      <w:pPr>
        <w:pStyle w:val="ListParagraph"/>
        <w:jc w:val="both"/>
        <w:rPr>
          <w:rFonts w:ascii="Book Antiqua" w:hAnsi="Book Antiqua" w:cs="Poppins"/>
          <w:sz w:val="22"/>
          <w:szCs w:val="22"/>
          <w:shd w:val="clear" w:color="auto" w:fill="FFFFFF"/>
        </w:rPr>
      </w:pPr>
    </w:p>
    <w:p w14:paraId="73DA6596" w14:textId="77777777" w:rsidR="00537268" w:rsidRDefault="00537268" w:rsidP="00537268">
      <w:pPr>
        <w:pStyle w:val="ListParagraph"/>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Government grants should not be recognised until there is reasonable assurance that </w:t>
      </w:r>
    </w:p>
    <w:p w14:paraId="066F9CB2" w14:textId="77777777" w:rsidR="00537268" w:rsidRDefault="00537268" w:rsidP="00537268">
      <w:pPr>
        <w:pStyle w:val="ListParagraph"/>
        <w:numPr>
          <w:ilvl w:val="0"/>
          <w:numId w:val="10"/>
        </w:numPr>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the enterprise will comply with the conditions attached to them, and </w:t>
      </w:r>
    </w:p>
    <w:p w14:paraId="00BF404A" w14:textId="64378163" w:rsidR="00537268" w:rsidRPr="00537268" w:rsidRDefault="00537268" w:rsidP="00537268">
      <w:pPr>
        <w:pStyle w:val="ListParagraph"/>
        <w:numPr>
          <w:ilvl w:val="0"/>
          <w:numId w:val="10"/>
        </w:numPr>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the grants will be received.</w:t>
      </w:r>
    </w:p>
    <w:p w14:paraId="1C9AD99C" w14:textId="77777777" w:rsidR="00537268" w:rsidRDefault="00537268" w:rsidP="00537268">
      <w:pPr>
        <w:pStyle w:val="ListParagraph"/>
        <w:jc w:val="both"/>
        <w:rPr>
          <w:rFonts w:ascii="Book Antiqua" w:hAnsi="Book Antiqua" w:cs="Poppins"/>
          <w:sz w:val="22"/>
          <w:szCs w:val="22"/>
          <w:shd w:val="clear" w:color="auto" w:fill="FFFFFF"/>
        </w:rPr>
      </w:pPr>
    </w:p>
    <w:p w14:paraId="4411FE12" w14:textId="6A68F34B" w:rsidR="00537268" w:rsidRPr="00537268" w:rsidRDefault="00537268" w:rsidP="00537268">
      <w:pPr>
        <w:pStyle w:val="ListParagraph"/>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Government grants related to specific fixed assets </w:t>
      </w:r>
      <w:r>
        <w:rPr>
          <w:rFonts w:ascii="Book Antiqua" w:hAnsi="Book Antiqua" w:cs="Poppins"/>
          <w:sz w:val="22"/>
          <w:szCs w:val="22"/>
          <w:shd w:val="clear" w:color="auto" w:fill="FFFFFF"/>
        </w:rPr>
        <w:t>are</w:t>
      </w:r>
      <w:r w:rsidRPr="00537268">
        <w:rPr>
          <w:rFonts w:ascii="Book Antiqua" w:hAnsi="Book Antiqua" w:cs="Poppins"/>
          <w:sz w:val="22"/>
          <w:szCs w:val="22"/>
          <w:shd w:val="clear" w:color="auto" w:fill="FFFFFF"/>
        </w:rPr>
        <w:t xml:space="preserve"> presented in the balance sheet by showing the grant as a deduction from the gross value of the assets concerned in arriving at their book value. Where the grant related to a specific fixed asset equals the whole, or virtually the whole, of the cost of the asset, the asset </w:t>
      </w:r>
      <w:r>
        <w:rPr>
          <w:rFonts w:ascii="Book Antiqua" w:hAnsi="Book Antiqua" w:cs="Poppins"/>
          <w:sz w:val="22"/>
          <w:szCs w:val="22"/>
          <w:shd w:val="clear" w:color="auto" w:fill="FFFFFF"/>
        </w:rPr>
        <w:t>is</w:t>
      </w:r>
      <w:r w:rsidRPr="00537268">
        <w:rPr>
          <w:rFonts w:ascii="Book Antiqua" w:hAnsi="Book Antiqua" w:cs="Poppins"/>
          <w:sz w:val="22"/>
          <w:szCs w:val="22"/>
          <w:shd w:val="clear" w:color="auto" w:fill="FFFFFF"/>
        </w:rPr>
        <w:t xml:space="preserve"> shown in the balance sheet at a nominal value.</w:t>
      </w:r>
    </w:p>
    <w:p w14:paraId="5FF90AC2" w14:textId="77777777" w:rsidR="00537268" w:rsidRDefault="00537268" w:rsidP="00537268">
      <w:pPr>
        <w:pStyle w:val="ListParagraph"/>
        <w:jc w:val="both"/>
        <w:rPr>
          <w:rFonts w:ascii="Book Antiqua" w:hAnsi="Book Antiqua" w:cs="Poppins"/>
          <w:sz w:val="22"/>
          <w:szCs w:val="22"/>
          <w:shd w:val="clear" w:color="auto" w:fill="FFFFFF"/>
        </w:rPr>
      </w:pPr>
    </w:p>
    <w:p w14:paraId="014CD24F" w14:textId="1884C69A" w:rsidR="00537268" w:rsidRPr="00537268" w:rsidRDefault="00537268" w:rsidP="00537268">
      <w:pPr>
        <w:pStyle w:val="ListParagraph"/>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Government grants related to revenue </w:t>
      </w:r>
      <w:r>
        <w:rPr>
          <w:rFonts w:ascii="Book Antiqua" w:hAnsi="Book Antiqua" w:cs="Poppins"/>
          <w:sz w:val="22"/>
          <w:szCs w:val="22"/>
          <w:shd w:val="clear" w:color="auto" w:fill="FFFFFF"/>
        </w:rPr>
        <w:t>are</w:t>
      </w:r>
      <w:r w:rsidRPr="00537268">
        <w:rPr>
          <w:rFonts w:ascii="Book Antiqua" w:hAnsi="Book Antiqua" w:cs="Poppins"/>
          <w:sz w:val="22"/>
          <w:szCs w:val="22"/>
          <w:shd w:val="clear" w:color="auto" w:fill="FFFFFF"/>
        </w:rPr>
        <w:t xml:space="preserve"> recognised on a systematic basis in the profit and loss statement over the periods necessary to match them with the related costs which they are intended to compensate. </w:t>
      </w:r>
    </w:p>
    <w:p w14:paraId="48727221" w14:textId="77777777" w:rsidR="00537268" w:rsidRDefault="00537268" w:rsidP="00537268">
      <w:pPr>
        <w:pStyle w:val="ListParagraph"/>
        <w:jc w:val="both"/>
        <w:rPr>
          <w:rFonts w:ascii="Book Antiqua" w:hAnsi="Book Antiqua" w:cs="Poppins"/>
          <w:sz w:val="22"/>
          <w:szCs w:val="22"/>
          <w:shd w:val="clear" w:color="auto" w:fill="FFFFFF"/>
        </w:rPr>
      </w:pPr>
    </w:p>
    <w:p w14:paraId="7B2CD080" w14:textId="7798E929" w:rsidR="00537268" w:rsidRPr="00537268" w:rsidRDefault="00537268" w:rsidP="00537268">
      <w:pPr>
        <w:pStyle w:val="ListParagraph"/>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Government grants of the nature of promoters’ contribution </w:t>
      </w:r>
      <w:r>
        <w:rPr>
          <w:rFonts w:ascii="Book Antiqua" w:hAnsi="Book Antiqua" w:cs="Poppins"/>
          <w:sz w:val="22"/>
          <w:szCs w:val="22"/>
          <w:shd w:val="clear" w:color="auto" w:fill="FFFFFF"/>
        </w:rPr>
        <w:t xml:space="preserve">are </w:t>
      </w:r>
      <w:r w:rsidRPr="00537268">
        <w:rPr>
          <w:rFonts w:ascii="Book Antiqua" w:hAnsi="Book Antiqua" w:cs="Poppins"/>
          <w:sz w:val="22"/>
          <w:szCs w:val="22"/>
          <w:shd w:val="clear" w:color="auto" w:fill="FFFFFF"/>
        </w:rPr>
        <w:t>credited to capital reserve and treated as a part of shareholders’ funds.</w:t>
      </w:r>
    </w:p>
    <w:p w14:paraId="6B042DEA" w14:textId="77777777" w:rsidR="00537268" w:rsidRDefault="00537268" w:rsidP="00537268">
      <w:pPr>
        <w:pStyle w:val="ListParagraph"/>
        <w:jc w:val="both"/>
        <w:rPr>
          <w:rFonts w:ascii="Book Antiqua" w:hAnsi="Book Antiqua" w:cs="Poppins"/>
          <w:sz w:val="22"/>
          <w:szCs w:val="22"/>
          <w:shd w:val="clear" w:color="auto" w:fill="FFFFFF"/>
        </w:rPr>
      </w:pPr>
    </w:p>
    <w:p w14:paraId="0147BA5D" w14:textId="11CA4117" w:rsidR="00537268" w:rsidRPr="00537268" w:rsidRDefault="00537268" w:rsidP="00537268">
      <w:pPr>
        <w:pStyle w:val="ListParagraph"/>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lastRenderedPageBreak/>
        <w:t xml:space="preserve">Government grants in the form of non-monetary assets, given at a concessional rate, </w:t>
      </w:r>
      <w:r>
        <w:rPr>
          <w:rFonts w:ascii="Book Antiqua" w:hAnsi="Book Antiqua" w:cs="Poppins"/>
          <w:sz w:val="22"/>
          <w:szCs w:val="22"/>
          <w:shd w:val="clear" w:color="auto" w:fill="FFFFFF"/>
        </w:rPr>
        <w:t>are</w:t>
      </w:r>
      <w:r w:rsidRPr="00537268">
        <w:rPr>
          <w:rFonts w:ascii="Book Antiqua" w:hAnsi="Book Antiqua" w:cs="Poppins"/>
          <w:sz w:val="22"/>
          <w:szCs w:val="22"/>
          <w:shd w:val="clear" w:color="auto" w:fill="FFFFFF"/>
        </w:rPr>
        <w:t xml:space="preserve"> accounted for </w:t>
      </w:r>
      <w:proofErr w:type="gramStart"/>
      <w:r w:rsidRPr="00537268">
        <w:rPr>
          <w:rFonts w:ascii="Book Antiqua" w:hAnsi="Book Antiqua" w:cs="Poppins"/>
          <w:sz w:val="22"/>
          <w:szCs w:val="22"/>
          <w:shd w:val="clear" w:color="auto" w:fill="FFFFFF"/>
        </w:rPr>
        <w:t>on the basis of</w:t>
      </w:r>
      <w:proofErr w:type="gramEnd"/>
      <w:r w:rsidRPr="00537268">
        <w:rPr>
          <w:rFonts w:ascii="Book Antiqua" w:hAnsi="Book Antiqua" w:cs="Poppins"/>
          <w:sz w:val="22"/>
          <w:szCs w:val="22"/>
          <w:shd w:val="clear" w:color="auto" w:fill="FFFFFF"/>
        </w:rPr>
        <w:t xml:space="preserve"> their acquisition cost. In case a non-monetary asset is given free of cost, </w:t>
      </w:r>
      <w:r>
        <w:rPr>
          <w:rFonts w:ascii="Book Antiqua" w:hAnsi="Book Antiqua" w:cs="Poppins"/>
          <w:sz w:val="22"/>
          <w:szCs w:val="22"/>
          <w:shd w:val="clear" w:color="auto" w:fill="FFFFFF"/>
        </w:rPr>
        <w:t>the same is</w:t>
      </w:r>
      <w:r w:rsidRPr="00537268">
        <w:rPr>
          <w:rFonts w:ascii="Book Antiqua" w:hAnsi="Book Antiqua" w:cs="Poppins"/>
          <w:sz w:val="22"/>
          <w:szCs w:val="22"/>
          <w:shd w:val="clear" w:color="auto" w:fill="FFFFFF"/>
        </w:rPr>
        <w:t xml:space="preserve"> recorded at a nominal value.</w:t>
      </w:r>
    </w:p>
    <w:p w14:paraId="36311ABF" w14:textId="77777777" w:rsidR="00537268" w:rsidRDefault="00537268" w:rsidP="00537268">
      <w:pPr>
        <w:pStyle w:val="ListParagraph"/>
        <w:jc w:val="both"/>
        <w:rPr>
          <w:rFonts w:ascii="Book Antiqua" w:hAnsi="Book Antiqua" w:cs="Poppins"/>
          <w:sz w:val="22"/>
          <w:szCs w:val="22"/>
          <w:shd w:val="clear" w:color="auto" w:fill="FFFFFF"/>
        </w:rPr>
      </w:pPr>
    </w:p>
    <w:p w14:paraId="37C5242E" w14:textId="4FDF5AA1" w:rsidR="00537268" w:rsidRPr="00537268" w:rsidRDefault="00537268" w:rsidP="00537268">
      <w:pPr>
        <w:pStyle w:val="ListParagraph"/>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Government grants that are receivable as compensation for expenses or losses incurred in a previous accounting period or for the purpose of giving immediate financial support to the enterprise with no further related costs, </w:t>
      </w:r>
      <w:r>
        <w:rPr>
          <w:rFonts w:ascii="Book Antiqua" w:hAnsi="Book Antiqua" w:cs="Poppins"/>
          <w:sz w:val="22"/>
          <w:szCs w:val="22"/>
          <w:shd w:val="clear" w:color="auto" w:fill="FFFFFF"/>
        </w:rPr>
        <w:t xml:space="preserve">are </w:t>
      </w:r>
      <w:r w:rsidRPr="00537268">
        <w:rPr>
          <w:rFonts w:ascii="Book Antiqua" w:hAnsi="Book Antiqua" w:cs="Poppins"/>
          <w:sz w:val="22"/>
          <w:szCs w:val="22"/>
          <w:shd w:val="clear" w:color="auto" w:fill="FFFFFF"/>
        </w:rPr>
        <w:t xml:space="preserve">recognised and disclosed in the profit and loss statement of the period in which they are receivable, as an extraordinary item if appropriate (see Accounting Standard (AS) 5, </w:t>
      </w:r>
      <w:bookmarkStart w:id="0" w:name="_Hlk201400074"/>
      <w:r w:rsidRPr="00537268">
        <w:rPr>
          <w:rFonts w:ascii="Book Antiqua" w:hAnsi="Book Antiqua" w:cs="Poppins"/>
          <w:sz w:val="22"/>
          <w:szCs w:val="22"/>
          <w:shd w:val="clear" w:color="auto" w:fill="FFFFFF"/>
        </w:rPr>
        <w:t>Net Profit or Loss for the Period, Prior Period Items and Changes in Accounting Policies</w:t>
      </w:r>
      <w:bookmarkEnd w:id="0"/>
      <w:r w:rsidRPr="00537268">
        <w:rPr>
          <w:rFonts w:ascii="Book Antiqua" w:hAnsi="Book Antiqua" w:cs="Poppins"/>
          <w:sz w:val="22"/>
          <w:szCs w:val="22"/>
          <w:shd w:val="clear" w:color="auto" w:fill="FFFFFF"/>
        </w:rPr>
        <w:t>).</w:t>
      </w:r>
    </w:p>
    <w:p w14:paraId="54183F07" w14:textId="77777777" w:rsidR="00537268" w:rsidRDefault="00537268" w:rsidP="00537268">
      <w:pPr>
        <w:pStyle w:val="ListParagraph"/>
        <w:jc w:val="both"/>
        <w:rPr>
          <w:rFonts w:ascii="Book Antiqua" w:hAnsi="Book Antiqua" w:cs="Poppins"/>
          <w:sz w:val="22"/>
          <w:szCs w:val="22"/>
          <w:shd w:val="clear" w:color="auto" w:fill="FFFFFF"/>
        </w:rPr>
      </w:pPr>
    </w:p>
    <w:p w14:paraId="2E65F5F2" w14:textId="2A3B2D24" w:rsidR="00537268" w:rsidRDefault="00537268" w:rsidP="00537268">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Specific Disclosure</w:t>
      </w:r>
    </w:p>
    <w:p w14:paraId="54A992A4" w14:textId="3B3F9898" w:rsidR="005028E6" w:rsidRPr="005028E6" w:rsidRDefault="00537268" w:rsidP="00FD4CF5">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T</w:t>
      </w:r>
      <w:r w:rsidRPr="00537268">
        <w:rPr>
          <w:rFonts w:ascii="Book Antiqua" w:hAnsi="Book Antiqua" w:cs="Poppins"/>
          <w:sz w:val="22"/>
          <w:szCs w:val="22"/>
          <w:shd w:val="clear" w:color="auto" w:fill="FFFFFF"/>
        </w:rPr>
        <w:t>he nature and extent of government grants recognised in the financial statements</w:t>
      </w:r>
      <w:r>
        <w:rPr>
          <w:rFonts w:ascii="Book Antiqua" w:hAnsi="Book Antiqua" w:cs="Poppins"/>
          <w:sz w:val="22"/>
          <w:szCs w:val="22"/>
          <w:shd w:val="clear" w:color="auto" w:fill="FFFFFF"/>
        </w:rPr>
        <w:t>:</w:t>
      </w:r>
    </w:p>
    <w:p w14:paraId="658FF115" w14:textId="77777777" w:rsidR="005028E6" w:rsidRPr="005028E6" w:rsidRDefault="005028E6" w:rsidP="00FD4CF5">
      <w:pPr>
        <w:pStyle w:val="ListParagraph"/>
        <w:jc w:val="both"/>
        <w:rPr>
          <w:rFonts w:ascii="Book Antiqua" w:hAnsi="Book Antiqua" w:cs="Poppins"/>
          <w:sz w:val="22"/>
          <w:szCs w:val="22"/>
          <w:shd w:val="clear" w:color="auto" w:fill="FFFFFF"/>
        </w:rPr>
      </w:pPr>
    </w:p>
    <w:p w14:paraId="67E203B3" w14:textId="6B602F78" w:rsidR="00FD4CF5" w:rsidRDefault="00FD4CF5" w:rsidP="00041C83">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Investments (AS – 13)</w:t>
      </w:r>
    </w:p>
    <w:p w14:paraId="38180FBF" w14:textId="77777777" w:rsidR="00FD4CF5" w:rsidRDefault="00FD4CF5" w:rsidP="00FD4CF5">
      <w:pPr>
        <w:pStyle w:val="ListParagraph"/>
        <w:jc w:val="both"/>
        <w:rPr>
          <w:rFonts w:ascii="Book Antiqua" w:hAnsi="Book Antiqua" w:cs="Poppins"/>
          <w:b/>
          <w:bCs/>
          <w:sz w:val="22"/>
          <w:szCs w:val="22"/>
          <w:shd w:val="clear" w:color="auto" w:fill="FFFFFF"/>
        </w:rPr>
      </w:pPr>
    </w:p>
    <w:p w14:paraId="1DBA0C67" w14:textId="154D0DCA" w:rsidR="00537268" w:rsidRDefault="00537268" w:rsidP="00FD4CF5">
      <w:pPr>
        <w:pStyle w:val="ListParagraph"/>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 xml:space="preserve">Amounts included in the </w:t>
      </w:r>
      <w:r w:rsidRPr="00537268">
        <w:rPr>
          <w:rFonts w:ascii="Book Antiqua" w:hAnsi="Book Antiqua" w:cs="Poppins"/>
          <w:b/>
          <w:bCs/>
          <w:sz w:val="22"/>
          <w:szCs w:val="22"/>
          <w:shd w:val="clear" w:color="auto" w:fill="FFFFFF"/>
        </w:rPr>
        <w:t>profit and loss statement for</w:t>
      </w:r>
    </w:p>
    <w:p w14:paraId="10E7A7C7" w14:textId="77777777" w:rsidR="00537268" w:rsidRDefault="00537268" w:rsidP="00FD4CF5">
      <w:pPr>
        <w:pStyle w:val="ListParagraph"/>
        <w:jc w:val="both"/>
        <w:rPr>
          <w:rFonts w:ascii="Book Antiqua" w:hAnsi="Book Antiqua" w:cs="Poppins"/>
          <w:b/>
          <w:bCs/>
          <w:sz w:val="22"/>
          <w:szCs w:val="22"/>
          <w:shd w:val="clear" w:color="auto" w:fill="FFFFFF"/>
        </w:rPr>
      </w:pPr>
    </w:p>
    <w:tbl>
      <w:tblPr>
        <w:tblStyle w:val="TableGrid"/>
        <w:tblW w:w="0" w:type="auto"/>
        <w:tblInd w:w="720" w:type="dxa"/>
        <w:tblLook w:val="04A0" w:firstRow="1" w:lastRow="0" w:firstColumn="1" w:lastColumn="0" w:noHBand="0" w:noVBand="1"/>
      </w:tblPr>
      <w:tblGrid>
        <w:gridCol w:w="4170"/>
        <w:gridCol w:w="4126"/>
      </w:tblGrid>
      <w:tr w:rsidR="00537268" w14:paraId="77887F47" w14:textId="77777777" w:rsidTr="00537268">
        <w:tc>
          <w:tcPr>
            <w:tcW w:w="4170" w:type="dxa"/>
          </w:tcPr>
          <w:p w14:paraId="3540524A" w14:textId="6E24454F" w:rsidR="00537268" w:rsidRDefault="00537268" w:rsidP="00FD4CF5">
            <w:pPr>
              <w:pStyle w:val="ListParagraph"/>
              <w:ind w:left="0"/>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Particulars</w:t>
            </w:r>
          </w:p>
        </w:tc>
        <w:tc>
          <w:tcPr>
            <w:tcW w:w="4126" w:type="dxa"/>
          </w:tcPr>
          <w:p w14:paraId="7FA1A6CA" w14:textId="4CEA9EAF" w:rsidR="00537268" w:rsidRDefault="00537268" w:rsidP="00FD4CF5">
            <w:pPr>
              <w:pStyle w:val="ListParagraph"/>
              <w:ind w:left="0"/>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Amount</w:t>
            </w:r>
          </w:p>
        </w:tc>
      </w:tr>
      <w:tr w:rsidR="00537268" w14:paraId="0E014674" w14:textId="77777777" w:rsidTr="00537268">
        <w:tc>
          <w:tcPr>
            <w:tcW w:w="4170" w:type="dxa"/>
          </w:tcPr>
          <w:p w14:paraId="4A87B636" w14:textId="4E4D1EE8" w:rsidR="00537268" w:rsidRPr="00537268" w:rsidRDefault="00537268" w:rsidP="00FD4CF5">
            <w:pPr>
              <w:pStyle w:val="ListParagraph"/>
              <w:ind w:left="0"/>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I</w:t>
            </w:r>
            <w:r w:rsidRPr="00537268">
              <w:rPr>
                <w:rFonts w:ascii="Book Antiqua" w:hAnsi="Book Antiqua" w:cs="Poppins"/>
                <w:sz w:val="22"/>
                <w:szCs w:val="22"/>
                <w:shd w:val="clear" w:color="auto" w:fill="FFFFFF"/>
              </w:rPr>
              <w:t>nterest, dividends</w:t>
            </w:r>
            <w:r w:rsidRPr="00537268">
              <w:rPr>
                <w:rFonts w:ascii="Book Antiqua" w:hAnsi="Book Antiqua" w:cs="Poppins"/>
                <w:sz w:val="22"/>
                <w:szCs w:val="22"/>
                <w:shd w:val="clear" w:color="auto" w:fill="FFFFFF"/>
              </w:rPr>
              <w:t xml:space="preserve"> and rentals from Long Term Investments</w:t>
            </w:r>
          </w:p>
        </w:tc>
        <w:tc>
          <w:tcPr>
            <w:tcW w:w="4126" w:type="dxa"/>
          </w:tcPr>
          <w:p w14:paraId="5366135A" w14:textId="77777777" w:rsidR="00537268" w:rsidRDefault="00537268" w:rsidP="00FD4CF5">
            <w:pPr>
              <w:pStyle w:val="ListParagraph"/>
              <w:ind w:left="0"/>
              <w:jc w:val="both"/>
              <w:rPr>
                <w:rFonts w:ascii="Book Antiqua" w:hAnsi="Book Antiqua" w:cs="Poppins"/>
                <w:b/>
                <w:bCs/>
                <w:sz w:val="22"/>
                <w:szCs w:val="22"/>
                <w:shd w:val="clear" w:color="auto" w:fill="FFFFFF"/>
              </w:rPr>
            </w:pPr>
          </w:p>
        </w:tc>
      </w:tr>
      <w:tr w:rsidR="00537268" w14:paraId="40AABF68" w14:textId="77777777" w:rsidTr="00537268">
        <w:tc>
          <w:tcPr>
            <w:tcW w:w="4170" w:type="dxa"/>
          </w:tcPr>
          <w:p w14:paraId="61F8930D" w14:textId="22FAB57C" w:rsidR="00537268" w:rsidRPr="00537268" w:rsidRDefault="00537268" w:rsidP="00FD4CF5">
            <w:pPr>
              <w:pStyle w:val="ListParagraph"/>
              <w:ind w:left="0"/>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profits and losses on disposal of current investments</w:t>
            </w:r>
          </w:p>
        </w:tc>
        <w:tc>
          <w:tcPr>
            <w:tcW w:w="4126" w:type="dxa"/>
          </w:tcPr>
          <w:p w14:paraId="182E3B6F" w14:textId="77777777" w:rsidR="00537268" w:rsidRDefault="00537268" w:rsidP="00FD4CF5">
            <w:pPr>
              <w:pStyle w:val="ListParagraph"/>
              <w:ind w:left="0"/>
              <w:jc w:val="both"/>
              <w:rPr>
                <w:rFonts w:ascii="Book Antiqua" w:hAnsi="Book Antiqua" w:cs="Poppins"/>
                <w:b/>
                <w:bCs/>
                <w:sz w:val="22"/>
                <w:szCs w:val="22"/>
                <w:shd w:val="clear" w:color="auto" w:fill="FFFFFF"/>
              </w:rPr>
            </w:pPr>
          </w:p>
        </w:tc>
      </w:tr>
      <w:tr w:rsidR="00537268" w14:paraId="66C3AD14" w14:textId="77777777" w:rsidTr="00537268">
        <w:tc>
          <w:tcPr>
            <w:tcW w:w="4170" w:type="dxa"/>
          </w:tcPr>
          <w:p w14:paraId="717DC774" w14:textId="226CEC5E" w:rsidR="00537268" w:rsidRPr="00537268" w:rsidRDefault="00537268" w:rsidP="00FD4CF5">
            <w:pPr>
              <w:pStyle w:val="ListParagraph"/>
              <w:ind w:left="0"/>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changes in the carrying </w:t>
            </w:r>
            <w:proofErr w:type="gramStart"/>
            <w:r w:rsidRPr="00537268">
              <w:rPr>
                <w:rFonts w:ascii="Book Antiqua" w:hAnsi="Book Antiqua" w:cs="Poppins"/>
                <w:sz w:val="22"/>
                <w:szCs w:val="22"/>
                <w:shd w:val="clear" w:color="auto" w:fill="FFFFFF"/>
              </w:rPr>
              <w:t>amount</w:t>
            </w:r>
            <w:proofErr w:type="gramEnd"/>
            <w:r w:rsidRPr="00537268">
              <w:rPr>
                <w:rFonts w:ascii="Book Antiqua" w:hAnsi="Book Antiqua" w:cs="Poppins"/>
                <w:sz w:val="22"/>
                <w:szCs w:val="22"/>
                <w:shd w:val="clear" w:color="auto" w:fill="FFFFFF"/>
              </w:rPr>
              <w:t xml:space="preserve"> of </w:t>
            </w:r>
            <w:r w:rsidRPr="00537268">
              <w:rPr>
                <w:rFonts w:ascii="Book Antiqua" w:hAnsi="Book Antiqua" w:cs="Poppins"/>
                <w:sz w:val="22"/>
                <w:szCs w:val="22"/>
                <w:shd w:val="clear" w:color="auto" w:fill="FFFFFF"/>
              </w:rPr>
              <w:t>current</w:t>
            </w:r>
            <w:r w:rsidRPr="00537268">
              <w:rPr>
                <w:rFonts w:ascii="Book Antiqua" w:hAnsi="Book Antiqua" w:cs="Poppins"/>
                <w:sz w:val="22"/>
                <w:szCs w:val="22"/>
                <w:shd w:val="clear" w:color="auto" w:fill="FFFFFF"/>
              </w:rPr>
              <w:t xml:space="preserve"> investments</w:t>
            </w:r>
          </w:p>
        </w:tc>
        <w:tc>
          <w:tcPr>
            <w:tcW w:w="4126" w:type="dxa"/>
          </w:tcPr>
          <w:p w14:paraId="0159A2B5" w14:textId="77777777" w:rsidR="00537268" w:rsidRDefault="00537268" w:rsidP="00FD4CF5">
            <w:pPr>
              <w:pStyle w:val="ListParagraph"/>
              <w:ind w:left="0"/>
              <w:jc w:val="both"/>
              <w:rPr>
                <w:rFonts w:ascii="Book Antiqua" w:hAnsi="Book Antiqua" w:cs="Poppins"/>
                <w:b/>
                <w:bCs/>
                <w:sz w:val="22"/>
                <w:szCs w:val="22"/>
                <w:shd w:val="clear" w:color="auto" w:fill="FFFFFF"/>
              </w:rPr>
            </w:pPr>
          </w:p>
        </w:tc>
      </w:tr>
      <w:tr w:rsidR="00537268" w14:paraId="02A27A8C" w14:textId="77777777" w:rsidTr="00537268">
        <w:tc>
          <w:tcPr>
            <w:tcW w:w="4170" w:type="dxa"/>
          </w:tcPr>
          <w:p w14:paraId="11686852" w14:textId="76A68996" w:rsidR="00537268" w:rsidRPr="00537268" w:rsidRDefault="00537268" w:rsidP="00537268">
            <w:pPr>
              <w:pStyle w:val="ListParagraph"/>
              <w:ind w:left="0"/>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profits and losses on disposal of </w:t>
            </w:r>
            <w:r w:rsidRPr="00537268">
              <w:rPr>
                <w:rFonts w:ascii="Book Antiqua" w:hAnsi="Book Antiqua" w:cs="Poppins"/>
                <w:sz w:val="22"/>
                <w:szCs w:val="22"/>
                <w:shd w:val="clear" w:color="auto" w:fill="FFFFFF"/>
              </w:rPr>
              <w:t>long-term</w:t>
            </w:r>
            <w:r w:rsidRPr="00537268">
              <w:rPr>
                <w:rFonts w:ascii="Book Antiqua" w:hAnsi="Book Antiqua" w:cs="Poppins"/>
                <w:sz w:val="22"/>
                <w:szCs w:val="22"/>
                <w:shd w:val="clear" w:color="auto" w:fill="FFFFFF"/>
              </w:rPr>
              <w:t xml:space="preserve"> investments</w:t>
            </w:r>
          </w:p>
        </w:tc>
        <w:tc>
          <w:tcPr>
            <w:tcW w:w="4126" w:type="dxa"/>
          </w:tcPr>
          <w:p w14:paraId="6D76D3A6" w14:textId="77777777" w:rsidR="00537268" w:rsidRDefault="00537268" w:rsidP="00537268">
            <w:pPr>
              <w:pStyle w:val="ListParagraph"/>
              <w:ind w:left="0"/>
              <w:jc w:val="both"/>
              <w:rPr>
                <w:rFonts w:ascii="Book Antiqua" w:hAnsi="Book Antiqua" w:cs="Poppins"/>
                <w:b/>
                <w:bCs/>
                <w:sz w:val="22"/>
                <w:szCs w:val="22"/>
                <w:shd w:val="clear" w:color="auto" w:fill="FFFFFF"/>
              </w:rPr>
            </w:pPr>
          </w:p>
        </w:tc>
      </w:tr>
      <w:tr w:rsidR="00537268" w14:paraId="488EBA9B" w14:textId="77777777" w:rsidTr="00537268">
        <w:tc>
          <w:tcPr>
            <w:tcW w:w="4170" w:type="dxa"/>
          </w:tcPr>
          <w:p w14:paraId="7D976BBB" w14:textId="14A244B2" w:rsidR="00537268" w:rsidRPr="00537268" w:rsidRDefault="00537268" w:rsidP="00537268">
            <w:pPr>
              <w:pStyle w:val="ListParagraph"/>
              <w:ind w:left="0"/>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changes in the carrying </w:t>
            </w:r>
            <w:proofErr w:type="gramStart"/>
            <w:r w:rsidRPr="00537268">
              <w:rPr>
                <w:rFonts w:ascii="Book Antiqua" w:hAnsi="Book Antiqua" w:cs="Poppins"/>
                <w:sz w:val="22"/>
                <w:szCs w:val="22"/>
                <w:shd w:val="clear" w:color="auto" w:fill="FFFFFF"/>
              </w:rPr>
              <w:t>amount</w:t>
            </w:r>
            <w:proofErr w:type="gramEnd"/>
            <w:r w:rsidRPr="00537268">
              <w:rPr>
                <w:rFonts w:ascii="Book Antiqua" w:hAnsi="Book Antiqua" w:cs="Poppins"/>
                <w:sz w:val="22"/>
                <w:szCs w:val="22"/>
                <w:shd w:val="clear" w:color="auto" w:fill="FFFFFF"/>
              </w:rPr>
              <w:t xml:space="preserve"> of </w:t>
            </w:r>
            <w:r w:rsidRPr="00537268">
              <w:rPr>
                <w:rFonts w:ascii="Book Antiqua" w:hAnsi="Book Antiqua" w:cs="Poppins"/>
                <w:sz w:val="22"/>
                <w:szCs w:val="22"/>
                <w:shd w:val="clear" w:color="auto" w:fill="FFFFFF"/>
              </w:rPr>
              <w:t>long-term</w:t>
            </w:r>
            <w:r w:rsidRPr="00537268">
              <w:rPr>
                <w:rFonts w:ascii="Book Antiqua" w:hAnsi="Book Antiqua" w:cs="Poppins"/>
                <w:sz w:val="22"/>
                <w:szCs w:val="22"/>
                <w:shd w:val="clear" w:color="auto" w:fill="FFFFFF"/>
              </w:rPr>
              <w:t xml:space="preserve"> investments</w:t>
            </w:r>
          </w:p>
        </w:tc>
        <w:tc>
          <w:tcPr>
            <w:tcW w:w="4126" w:type="dxa"/>
          </w:tcPr>
          <w:p w14:paraId="350CD687" w14:textId="77777777" w:rsidR="00537268" w:rsidRDefault="00537268" w:rsidP="00537268">
            <w:pPr>
              <w:pStyle w:val="ListParagraph"/>
              <w:ind w:left="0"/>
              <w:jc w:val="both"/>
              <w:rPr>
                <w:rFonts w:ascii="Book Antiqua" w:hAnsi="Book Antiqua" w:cs="Poppins"/>
                <w:b/>
                <w:bCs/>
                <w:sz w:val="22"/>
                <w:szCs w:val="22"/>
                <w:shd w:val="clear" w:color="auto" w:fill="FFFFFF"/>
              </w:rPr>
            </w:pPr>
          </w:p>
        </w:tc>
      </w:tr>
    </w:tbl>
    <w:p w14:paraId="2D9F08B8" w14:textId="77777777" w:rsidR="00537268" w:rsidRDefault="00537268" w:rsidP="00FD4CF5">
      <w:pPr>
        <w:pStyle w:val="ListParagraph"/>
        <w:jc w:val="both"/>
        <w:rPr>
          <w:rFonts w:ascii="Book Antiqua" w:hAnsi="Book Antiqua" w:cs="Poppins"/>
          <w:b/>
          <w:bCs/>
          <w:sz w:val="22"/>
          <w:szCs w:val="22"/>
          <w:shd w:val="clear" w:color="auto" w:fill="FFFFFF"/>
        </w:rPr>
      </w:pPr>
    </w:p>
    <w:p w14:paraId="078BB2C4" w14:textId="55446BF3" w:rsidR="00537268" w:rsidRDefault="00537268" w:rsidP="00FD4CF5">
      <w:pPr>
        <w:pStyle w:val="ListParagraph"/>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 xml:space="preserve">Aggregate Value of </w:t>
      </w:r>
    </w:p>
    <w:tbl>
      <w:tblPr>
        <w:tblStyle w:val="TableGrid"/>
        <w:tblW w:w="0" w:type="auto"/>
        <w:tblInd w:w="720" w:type="dxa"/>
        <w:tblLook w:val="04A0" w:firstRow="1" w:lastRow="0" w:firstColumn="1" w:lastColumn="0" w:noHBand="0" w:noVBand="1"/>
      </w:tblPr>
      <w:tblGrid>
        <w:gridCol w:w="4148"/>
        <w:gridCol w:w="4148"/>
      </w:tblGrid>
      <w:tr w:rsidR="00537268" w14:paraId="16836165" w14:textId="77777777" w:rsidTr="00537268">
        <w:tc>
          <w:tcPr>
            <w:tcW w:w="4148" w:type="dxa"/>
          </w:tcPr>
          <w:p w14:paraId="23BA1DE6" w14:textId="0E1FE80B" w:rsidR="00537268" w:rsidRDefault="00537268" w:rsidP="00537268">
            <w:pPr>
              <w:pStyle w:val="ListParagraph"/>
              <w:ind w:left="0"/>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Particulars</w:t>
            </w:r>
          </w:p>
        </w:tc>
        <w:tc>
          <w:tcPr>
            <w:tcW w:w="4148" w:type="dxa"/>
          </w:tcPr>
          <w:p w14:paraId="3619CABC" w14:textId="7915A930" w:rsidR="00537268" w:rsidRDefault="00537268" w:rsidP="00537268">
            <w:pPr>
              <w:pStyle w:val="ListParagraph"/>
              <w:ind w:left="0"/>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Amount</w:t>
            </w:r>
          </w:p>
        </w:tc>
      </w:tr>
      <w:tr w:rsidR="00537268" w14:paraId="401E6A09" w14:textId="77777777" w:rsidTr="00537268">
        <w:tc>
          <w:tcPr>
            <w:tcW w:w="4148" w:type="dxa"/>
          </w:tcPr>
          <w:p w14:paraId="493C2407" w14:textId="7F42C2E8" w:rsidR="00537268" w:rsidRPr="00537268" w:rsidRDefault="00537268" w:rsidP="00537268">
            <w:pPr>
              <w:pStyle w:val="ListParagraph"/>
              <w:ind w:left="0"/>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the aggregate </w:t>
            </w:r>
            <w:proofErr w:type="gramStart"/>
            <w:r w:rsidRPr="00537268">
              <w:rPr>
                <w:rFonts w:ascii="Book Antiqua" w:hAnsi="Book Antiqua" w:cs="Poppins"/>
                <w:sz w:val="22"/>
                <w:szCs w:val="22"/>
                <w:shd w:val="clear" w:color="auto" w:fill="FFFFFF"/>
              </w:rPr>
              <w:t>amount</w:t>
            </w:r>
            <w:proofErr w:type="gramEnd"/>
            <w:r w:rsidRPr="00537268">
              <w:rPr>
                <w:rFonts w:ascii="Book Antiqua" w:hAnsi="Book Antiqua" w:cs="Poppins"/>
                <w:sz w:val="22"/>
                <w:szCs w:val="22"/>
                <w:shd w:val="clear" w:color="auto" w:fill="FFFFFF"/>
              </w:rPr>
              <w:t xml:space="preserve"> of quoted</w:t>
            </w:r>
            <w:r w:rsidRPr="00537268">
              <w:rPr>
                <w:rFonts w:ascii="Book Antiqua" w:hAnsi="Book Antiqua" w:cs="Poppins"/>
                <w:sz w:val="22"/>
                <w:szCs w:val="22"/>
                <w:shd w:val="clear" w:color="auto" w:fill="FFFFFF"/>
              </w:rPr>
              <w:t xml:space="preserve"> investments</w:t>
            </w:r>
          </w:p>
        </w:tc>
        <w:tc>
          <w:tcPr>
            <w:tcW w:w="4148" w:type="dxa"/>
          </w:tcPr>
          <w:p w14:paraId="233EED32" w14:textId="77777777" w:rsidR="00537268" w:rsidRDefault="00537268" w:rsidP="00537268">
            <w:pPr>
              <w:pStyle w:val="ListParagraph"/>
              <w:ind w:left="0"/>
              <w:jc w:val="both"/>
              <w:rPr>
                <w:rFonts w:ascii="Book Antiqua" w:hAnsi="Book Antiqua" w:cs="Poppins"/>
                <w:b/>
                <w:bCs/>
                <w:sz w:val="22"/>
                <w:szCs w:val="22"/>
                <w:shd w:val="clear" w:color="auto" w:fill="FFFFFF"/>
              </w:rPr>
            </w:pPr>
          </w:p>
        </w:tc>
      </w:tr>
      <w:tr w:rsidR="00537268" w14:paraId="5C2815C3" w14:textId="77777777" w:rsidTr="00537268">
        <w:tc>
          <w:tcPr>
            <w:tcW w:w="4148" w:type="dxa"/>
          </w:tcPr>
          <w:p w14:paraId="69D6B10F" w14:textId="048E9606" w:rsidR="00537268" w:rsidRPr="00537268" w:rsidRDefault="00537268" w:rsidP="00537268">
            <w:pPr>
              <w:pStyle w:val="ListParagraph"/>
              <w:ind w:left="0"/>
              <w:jc w:val="both"/>
              <w:rPr>
                <w:rFonts w:ascii="Book Antiqua" w:hAnsi="Book Antiqua" w:cs="Poppins"/>
                <w:sz w:val="22"/>
                <w:szCs w:val="22"/>
                <w:shd w:val="clear" w:color="auto" w:fill="FFFFFF"/>
              </w:rPr>
            </w:pPr>
            <w:r w:rsidRPr="00537268">
              <w:rPr>
                <w:rFonts w:ascii="Book Antiqua" w:hAnsi="Book Antiqua" w:cs="Poppins"/>
                <w:sz w:val="22"/>
                <w:szCs w:val="22"/>
                <w:shd w:val="clear" w:color="auto" w:fill="FFFFFF"/>
              </w:rPr>
              <w:t xml:space="preserve">the aggregate </w:t>
            </w:r>
            <w:proofErr w:type="gramStart"/>
            <w:r w:rsidRPr="00537268">
              <w:rPr>
                <w:rFonts w:ascii="Book Antiqua" w:hAnsi="Book Antiqua" w:cs="Poppins"/>
                <w:sz w:val="22"/>
                <w:szCs w:val="22"/>
                <w:shd w:val="clear" w:color="auto" w:fill="FFFFFF"/>
              </w:rPr>
              <w:t>amount</w:t>
            </w:r>
            <w:proofErr w:type="gramEnd"/>
            <w:r w:rsidRPr="00537268">
              <w:rPr>
                <w:rFonts w:ascii="Book Antiqua" w:hAnsi="Book Antiqua" w:cs="Poppins"/>
                <w:sz w:val="22"/>
                <w:szCs w:val="22"/>
                <w:shd w:val="clear" w:color="auto" w:fill="FFFFFF"/>
              </w:rPr>
              <w:t xml:space="preserve"> of </w:t>
            </w:r>
            <w:r w:rsidRPr="00537268">
              <w:rPr>
                <w:rFonts w:ascii="Book Antiqua" w:hAnsi="Book Antiqua" w:cs="Poppins"/>
                <w:sz w:val="22"/>
                <w:szCs w:val="22"/>
                <w:shd w:val="clear" w:color="auto" w:fill="FFFFFF"/>
              </w:rPr>
              <w:t>un</w:t>
            </w:r>
            <w:r w:rsidRPr="00537268">
              <w:rPr>
                <w:rFonts w:ascii="Book Antiqua" w:hAnsi="Book Antiqua" w:cs="Poppins"/>
                <w:sz w:val="22"/>
                <w:szCs w:val="22"/>
                <w:shd w:val="clear" w:color="auto" w:fill="FFFFFF"/>
              </w:rPr>
              <w:t>quoted</w:t>
            </w:r>
            <w:r w:rsidRPr="00537268">
              <w:rPr>
                <w:rFonts w:ascii="Book Antiqua" w:hAnsi="Book Antiqua" w:cs="Poppins"/>
                <w:sz w:val="22"/>
                <w:szCs w:val="22"/>
                <w:shd w:val="clear" w:color="auto" w:fill="FFFFFF"/>
              </w:rPr>
              <w:t xml:space="preserve"> investments</w:t>
            </w:r>
          </w:p>
        </w:tc>
        <w:tc>
          <w:tcPr>
            <w:tcW w:w="4148" w:type="dxa"/>
          </w:tcPr>
          <w:p w14:paraId="6C538BD3" w14:textId="77777777" w:rsidR="00537268" w:rsidRDefault="00537268" w:rsidP="00537268">
            <w:pPr>
              <w:pStyle w:val="ListParagraph"/>
              <w:ind w:left="0"/>
              <w:jc w:val="both"/>
              <w:rPr>
                <w:rFonts w:ascii="Book Antiqua" w:hAnsi="Book Antiqua" w:cs="Poppins"/>
                <w:b/>
                <w:bCs/>
                <w:sz w:val="22"/>
                <w:szCs w:val="22"/>
                <w:shd w:val="clear" w:color="auto" w:fill="FFFFFF"/>
              </w:rPr>
            </w:pPr>
          </w:p>
        </w:tc>
      </w:tr>
    </w:tbl>
    <w:p w14:paraId="4BE674E0" w14:textId="77777777" w:rsidR="00537268" w:rsidRDefault="00537268" w:rsidP="00FD4CF5">
      <w:pPr>
        <w:pStyle w:val="ListParagraph"/>
        <w:jc w:val="both"/>
        <w:rPr>
          <w:rFonts w:ascii="Book Antiqua" w:hAnsi="Book Antiqua" w:cs="Poppins"/>
          <w:b/>
          <w:bCs/>
          <w:sz w:val="22"/>
          <w:szCs w:val="22"/>
          <w:shd w:val="clear" w:color="auto" w:fill="FFFFFF"/>
        </w:rPr>
      </w:pPr>
    </w:p>
    <w:p w14:paraId="648B9493" w14:textId="32C31DF3" w:rsidR="00537268" w:rsidRDefault="00537268" w:rsidP="00FD4CF5">
      <w:pPr>
        <w:pStyle w:val="ListParagraph"/>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 xml:space="preserve">[This section </w:t>
      </w:r>
      <w:r w:rsidR="00A5606B">
        <w:rPr>
          <w:rFonts w:ascii="Book Antiqua" w:hAnsi="Book Antiqua" w:cs="Poppins"/>
          <w:b/>
          <w:bCs/>
          <w:sz w:val="22"/>
          <w:szCs w:val="22"/>
          <w:shd w:val="clear" w:color="auto" w:fill="FFFFFF"/>
        </w:rPr>
        <w:t>may be omitted, if the above disclosure is already made in the schedules]</w:t>
      </w:r>
    </w:p>
    <w:p w14:paraId="134FD028" w14:textId="77777777" w:rsidR="00537268" w:rsidRDefault="00537268" w:rsidP="00FD4CF5">
      <w:pPr>
        <w:pStyle w:val="ListParagraph"/>
        <w:jc w:val="both"/>
        <w:rPr>
          <w:rFonts w:ascii="Book Antiqua" w:hAnsi="Book Antiqua" w:cs="Poppins"/>
          <w:b/>
          <w:bCs/>
          <w:sz w:val="22"/>
          <w:szCs w:val="22"/>
          <w:shd w:val="clear" w:color="auto" w:fill="FFFFFF"/>
        </w:rPr>
      </w:pPr>
    </w:p>
    <w:p w14:paraId="0BE481B5" w14:textId="6C91233C" w:rsidR="00FD4CF5" w:rsidRDefault="00FD4CF5" w:rsidP="00041C83">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Borrowing Costs (AS – 16)</w:t>
      </w:r>
    </w:p>
    <w:p w14:paraId="3AD78657" w14:textId="31481BE1" w:rsidR="00FD4CF5" w:rsidRDefault="00204711" w:rsidP="00FD4CF5">
      <w:pPr>
        <w:pStyle w:val="ListParagraph"/>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(to be disclosed only by entities obtaining a qualifying asset)</w:t>
      </w:r>
    </w:p>
    <w:p w14:paraId="497AC220" w14:textId="77777777" w:rsidR="00204711" w:rsidRDefault="00204711" w:rsidP="00FD4CF5">
      <w:pPr>
        <w:pStyle w:val="ListParagraph"/>
        <w:jc w:val="both"/>
        <w:rPr>
          <w:rFonts w:ascii="Book Antiqua" w:hAnsi="Book Antiqua" w:cs="Poppins"/>
          <w:b/>
          <w:bCs/>
          <w:sz w:val="22"/>
          <w:szCs w:val="22"/>
          <w:shd w:val="clear" w:color="auto" w:fill="FFFFFF"/>
        </w:rPr>
      </w:pPr>
    </w:p>
    <w:p w14:paraId="43B84020" w14:textId="12215C40" w:rsidR="00204711" w:rsidRDefault="00204711" w:rsidP="00FD4CF5">
      <w:pPr>
        <w:pStyle w:val="ListParagraph"/>
        <w:jc w:val="both"/>
        <w:rPr>
          <w:rFonts w:ascii="Book Antiqua" w:hAnsi="Book Antiqua" w:cs="Poppins"/>
          <w:sz w:val="22"/>
          <w:szCs w:val="22"/>
          <w:shd w:val="clear" w:color="auto" w:fill="FFFFFF"/>
        </w:rPr>
      </w:pPr>
      <w:r w:rsidRPr="00204711">
        <w:rPr>
          <w:rFonts w:ascii="Book Antiqua" w:hAnsi="Book Antiqua" w:cs="Poppins"/>
          <w:sz w:val="22"/>
          <w:szCs w:val="22"/>
          <w:shd w:val="clear" w:color="auto" w:fill="FFFFFF"/>
        </w:rPr>
        <w:t xml:space="preserve">Borrowing costs that are directly attributable to the acquisition, construction or production of a qualifying asset </w:t>
      </w:r>
      <w:r>
        <w:rPr>
          <w:rFonts w:ascii="Book Antiqua" w:hAnsi="Book Antiqua" w:cs="Poppins"/>
          <w:sz w:val="22"/>
          <w:szCs w:val="22"/>
          <w:shd w:val="clear" w:color="auto" w:fill="FFFFFF"/>
        </w:rPr>
        <w:t>are</w:t>
      </w:r>
      <w:r w:rsidRPr="00204711">
        <w:rPr>
          <w:rFonts w:ascii="Book Antiqua" w:hAnsi="Book Antiqua" w:cs="Poppins"/>
          <w:sz w:val="22"/>
          <w:szCs w:val="22"/>
          <w:shd w:val="clear" w:color="auto" w:fill="FFFFFF"/>
        </w:rPr>
        <w:t xml:space="preserve"> capitalised as part of the cost of that asset. Other borrowing costs </w:t>
      </w:r>
      <w:r>
        <w:rPr>
          <w:rFonts w:ascii="Book Antiqua" w:hAnsi="Book Antiqua" w:cs="Poppins"/>
          <w:sz w:val="22"/>
          <w:szCs w:val="22"/>
          <w:shd w:val="clear" w:color="auto" w:fill="FFFFFF"/>
        </w:rPr>
        <w:t>is</w:t>
      </w:r>
      <w:r w:rsidRPr="00204711">
        <w:rPr>
          <w:rFonts w:ascii="Book Antiqua" w:hAnsi="Book Antiqua" w:cs="Poppins"/>
          <w:sz w:val="22"/>
          <w:szCs w:val="22"/>
          <w:shd w:val="clear" w:color="auto" w:fill="FFFFFF"/>
        </w:rPr>
        <w:t xml:space="preserve"> recognised as an expense in the period in which they are incurred.</w:t>
      </w:r>
    </w:p>
    <w:p w14:paraId="42F8E821" w14:textId="77777777" w:rsidR="00204711" w:rsidRDefault="00204711" w:rsidP="00FD4CF5">
      <w:pPr>
        <w:pStyle w:val="ListParagraph"/>
        <w:jc w:val="both"/>
        <w:rPr>
          <w:rFonts w:ascii="Book Antiqua" w:hAnsi="Book Antiqua" w:cs="Poppins"/>
          <w:sz w:val="22"/>
          <w:szCs w:val="22"/>
          <w:shd w:val="clear" w:color="auto" w:fill="FFFFFF"/>
        </w:rPr>
      </w:pPr>
    </w:p>
    <w:p w14:paraId="05F15864" w14:textId="14C08C54" w:rsidR="00204711" w:rsidRDefault="00204711" w:rsidP="00FD4CF5">
      <w:pPr>
        <w:pStyle w:val="ListParagraph"/>
        <w:jc w:val="both"/>
        <w:rPr>
          <w:rFonts w:ascii="Book Antiqua" w:hAnsi="Book Antiqua" w:cs="Poppins"/>
          <w:sz w:val="22"/>
          <w:szCs w:val="22"/>
          <w:shd w:val="clear" w:color="auto" w:fill="FFFFFF"/>
        </w:rPr>
      </w:pPr>
      <w:r w:rsidRPr="00204711">
        <w:rPr>
          <w:rFonts w:ascii="Book Antiqua" w:hAnsi="Book Antiqua" w:cs="Poppins"/>
          <w:sz w:val="22"/>
          <w:szCs w:val="22"/>
          <w:shd w:val="clear" w:color="auto" w:fill="FFFFFF"/>
        </w:rPr>
        <w:t xml:space="preserve">To the extent that funds are borrowed specifically for the purpose of obtaining a qualifying asset, the amount of borrowing costs eligible for capitalisation on that asset </w:t>
      </w:r>
      <w:r>
        <w:rPr>
          <w:rFonts w:ascii="Book Antiqua" w:hAnsi="Book Antiqua" w:cs="Poppins"/>
          <w:sz w:val="22"/>
          <w:szCs w:val="22"/>
          <w:shd w:val="clear" w:color="auto" w:fill="FFFFFF"/>
        </w:rPr>
        <w:t>are</w:t>
      </w:r>
      <w:r w:rsidRPr="00204711">
        <w:rPr>
          <w:rFonts w:ascii="Book Antiqua" w:hAnsi="Book Antiqua" w:cs="Poppins"/>
          <w:sz w:val="22"/>
          <w:szCs w:val="22"/>
          <w:shd w:val="clear" w:color="auto" w:fill="FFFFFF"/>
        </w:rPr>
        <w:t xml:space="preserve"> determined as the actual borrowing costs incurred on that borrowing during the period less any income on the temporary investment of those borrowings.</w:t>
      </w:r>
    </w:p>
    <w:p w14:paraId="1EBEC509" w14:textId="77777777" w:rsidR="00204711" w:rsidRDefault="00204711" w:rsidP="00FD4CF5">
      <w:pPr>
        <w:pStyle w:val="ListParagraph"/>
        <w:jc w:val="both"/>
        <w:rPr>
          <w:rFonts w:ascii="Book Antiqua" w:hAnsi="Book Antiqua" w:cs="Poppins"/>
          <w:sz w:val="22"/>
          <w:szCs w:val="22"/>
          <w:shd w:val="clear" w:color="auto" w:fill="FFFFFF"/>
        </w:rPr>
      </w:pPr>
    </w:p>
    <w:p w14:paraId="002DA18C" w14:textId="4DE9E6CB" w:rsidR="00204711" w:rsidRDefault="00204711" w:rsidP="00FD4CF5">
      <w:pPr>
        <w:pStyle w:val="ListParagraph"/>
        <w:jc w:val="both"/>
        <w:rPr>
          <w:rFonts w:ascii="Book Antiqua" w:hAnsi="Book Antiqua" w:cs="Poppins"/>
          <w:sz w:val="22"/>
          <w:szCs w:val="22"/>
          <w:shd w:val="clear" w:color="auto" w:fill="FFFFFF"/>
        </w:rPr>
      </w:pPr>
      <w:r w:rsidRPr="00204711">
        <w:rPr>
          <w:rFonts w:ascii="Book Antiqua" w:hAnsi="Book Antiqua" w:cs="Poppins"/>
          <w:sz w:val="22"/>
          <w:szCs w:val="22"/>
          <w:shd w:val="clear" w:color="auto" w:fill="FFFFFF"/>
        </w:rPr>
        <w:t xml:space="preserve">To the extent that funds are borrowed generally and used for the purpose of obtaining a qualifying asset, the amount of borrowing costs eligible for capitalisation </w:t>
      </w:r>
      <w:r>
        <w:rPr>
          <w:rFonts w:ascii="Book Antiqua" w:hAnsi="Book Antiqua" w:cs="Poppins"/>
          <w:sz w:val="22"/>
          <w:szCs w:val="22"/>
          <w:shd w:val="clear" w:color="auto" w:fill="FFFFFF"/>
        </w:rPr>
        <w:t>are</w:t>
      </w:r>
      <w:r w:rsidRPr="00204711">
        <w:rPr>
          <w:rFonts w:ascii="Book Antiqua" w:hAnsi="Book Antiqua" w:cs="Poppins"/>
          <w:sz w:val="22"/>
          <w:szCs w:val="22"/>
          <w:shd w:val="clear" w:color="auto" w:fill="FFFFFF"/>
        </w:rPr>
        <w:t xml:space="preserve"> determined by applying a capitalisation rate to the expenditure on that asset.</w:t>
      </w:r>
    </w:p>
    <w:p w14:paraId="5E52F338" w14:textId="77777777" w:rsidR="00204711" w:rsidRDefault="00204711" w:rsidP="00FD4CF5">
      <w:pPr>
        <w:pStyle w:val="ListParagraph"/>
        <w:jc w:val="both"/>
        <w:rPr>
          <w:rFonts w:ascii="Book Antiqua" w:hAnsi="Book Antiqua" w:cs="Poppins"/>
          <w:sz w:val="22"/>
          <w:szCs w:val="22"/>
          <w:shd w:val="clear" w:color="auto" w:fill="FFFFFF"/>
        </w:rPr>
      </w:pPr>
    </w:p>
    <w:p w14:paraId="3524EF9D" w14:textId="14B318A0" w:rsidR="00204711" w:rsidRPr="00204711" w:rsidRDefault="00204711" w:rsidP="00FD4CF5">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 xml:space="preserve">Amount of Borrowing Cost Capitalised during the </w:t>
      </w:r>
      <w:proofErr w:type="gramStart"/>
      <w:r>
        <w:rPr>
          <w:rFonts w:ascii="Book Antiqua" w:hAnsi="Book Antiqua" w:cs="Poppins"/>
          <w:sz w:val="22"/>
          <w:szCs w:val="22"/>
          <w:shd w:val="clear" w:color="auto" w:fill="FFFFFF"/>
        </w:rPr>
        <w:t>period :</w:t>
      </w:r>
      <w:proofErr w:type="gramEnd"/>
      <w:r>
        <w:rPr>
          <w:rFonts w:ascii="Book Antiqua" w:hAnsi="Book Antiqua" w:cs="Poppins"/>
          <w:sz w:val="22"/>
          <w:szCs w:val="22"/>
          <w:shd w:val="clear" w:color="auto" w:fill="FFFFFF"/>
        </w:rPr>
        <w:t xml:space="preserve"> </w:t>
      </w:r>
    </w:p>
    <w:p w14:paraId="01ADBAE2" w14:textId="77777777" w:rsidR="00204711" w:rsidRDefault="00204711" w:rsidP="00FD4CF5">
      <w:pPr>
        <w:pStyle w:val="ListParagraph"/>
        <w:jc w:val="both"/>
        <w:rPr>
          <w:rFonts w:ascii="Book Antiqua" w:hAnsi="Book Antiqua" w:cs="Poppins"/>
          <w:b/>
          <w:bCs/>
          <w:sz w:val="22"/>
          <w:szCs w:val="22"/>
          <w:shd w:val="clear" w:color="auto" w:fill="FFFFFF"/>
        </w:rPr>
      </w:pPr>
    </w:p>
    <w:p w14:paraId="55E7254E" w14:textId="77777777" w:rsidR="00FD4CF5" w:rsidRDefault="00041C83" w:rsidP="00041C83">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Taxation</w:t>
      </w:r>
      <w:r w:rsidR="00FD4CF5">
        <w:rPr>
          <w:rFonts w:ascii="Book Antiqua" w:hAnsi="Book Antiqua" w:cs="Poppins"/>
          <w:b/>
          <w:bCs/>
          <w:sz w:val="22"/>
          <w:szCs w:val="22"/>
          <w:shd w:val="clear" w:color="auto" w:fill="FFFFFF"/>
        </w:rPr>
        <w:t xml:space="preserve"> (AS – 22)</w:t>
      </w:r>
    </w:p>
    <w:p w14:paraId="4A88F04F" w14:textId="77777777" w:rsidR="00FD4CF5" w:rsidRDefault="00FD4CF5" w:rsidP="00FD4CF5">
      <w:pPr>
        <w:pStyle w:val="ListParagraph"/>
        <w:jc w:val="both"/>
        <w:rPr>
          <w:rFonts w:ascii="Book Antiqua" w:hAnsi="Book Antiqua" w:cs="Poppins"/>
          <w:b/>
          <w:bCs/>
          <w:sz w:val="22"/>
          <w:szCs w:val="22"/>
          <w:shd w:val="clear" w:color="auto" w:fill="FFFFFF"/>
        </w:rPr>
      </w:pPr>
    </w:p>
    <w:p w14:paraId="7D5F28DD" w14:textId="1752D123" w:rsidR="005C4E8E" w:rsidRDefault="00FD4CF5" w:rsidP="00FD4CF5">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Provision for Income Tax has been made as per the applicable rates. </w:t>
      </w:r>
      <w:r w:rsidR="005C4E8E" w:rsidRPr="005C4E8E">
        <w:rPr>
          <w:rFonts w:ascii="Book Antiqua" w:hAnsi="Book Antiqua" w:cs="Poppins"/>
          <w:sz w:val="22"/>
          <w:szCs w:val="22"/>
          <w:shd w:val="clear" w:color="auto" w:fill="FFFFFF"/>
        </w:rPr>
        <w:t xml:space="preserve">Current tax </w:t>
      </w:r>
      <w:r w:rsidR="005C4E8E">
        <w:rPr>
          <w:rFonts w:ascii="Book Antiqua" w:hAnsi="Book Antiqua" w:cs="Poppins"/>
          <w:sz w:val="22"/>
          <w:szCs w:val="22"/>
          <w:shd w:val="clear" w:color="auto" w:fill="FFFFFF"/>
        </w:rPr>
        <w:t>i</w:t>
      </w:r>
      <w:r w:rsidR="005C4E8E" w:rsidRPr="005C4E8E">
        <w:rPr>
          <w:rFonts w:ascii="Book Antiqua" w:hAnsi="Book Antiqua" w:cs="Poppins"/>
          <w:sz w:val="22"/>
          <w:szCs w:val="22"/>
          <w:shd w:val="clear" w:color="auto" w:fill="FFFFFF"/>
        </w:rPr>
        <w:t>s measured at the amount expected to be paid to</w:t>
      </w:r>
      <w:r w:rsidR="005C4E8E">
        <w:rPr>
          <w:rFonts w:ascii="Book Antiqua" w:hAnsi="Book Antiqua" w:cs="Poppins"/>
          <w:sz w:val="22"/>
          <w:szCs w:val="22"/>
          <w:shd w:val="clear" w:color="auto" w:fill="FFFFFF"/>
        </w:rPr>
        <w:t xml:space="preserve">/ </w:t>
      </w:r>
      <w:r w:rsidR="005C4E8E" w:rsidRPr="005C4E8E">
        <w:rPr>
          <w:rFonts w:ascii="Book Antiqua" w:hAnsi="Book Antiqua" w:cs="Poppins"/>
          <w:sz w:val="22"/>
          <w:szCs w:val="22"/>
          <w:shd w:val="clear" w:color="auto" w:fill="FFFFFF"/>
        </w:rPr>
        <w:t>recovered from the taxation authorities, using the applicable tax rates and tax laws.</w:t>
      </w:r>
    </w:p>
    <w:p w14:paraId="5A342AEF" w14:textId="77777777" w:rsidR="005C4E8E" w:rsidRDefault="005C4E8E" w:rsidP="00FD4CF5">
      <w:pPr>
        <w:pStyle w:val="ListParagraph"/>
        <w:jc w:val="both"/>
        <w:rPr>
          <w:rFonts w:ascii="Book Antiqua" w:hAnsi="Book Antiqua" w:cs="Poppins"/>
          <w:sz w:val="22"/>
          <w:szCs w:val="22"/>
          <w:shd w:val="clear" w:color="auto" w:fill="FFFFFF"/>
        </w:rPr>
      </w:pPr>
    </w:p>
    <w:p w14:paraId="41BF850E" w14:textId="46AF9D59" w:rsidR="00FD4CF5" w:rsidRPr="00E4063A" w:rsidRDefault="00FD4CF5" w:rsidP="00FD4CF5">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No deferred tax assets or liabilities have been recognized </w:t>
      </w:r>
      <w:r>
        <w:rPr>
          <w:rFonts w:ascii="Book Antiqua" w:hAnsi="Book Antiqua" w:cs="Poppins"/>
          <w:sz w:val="22"/>
          <w:szCs w:val="22"/>
          <w:shd w:val="clear" w:color="auto" w:fill="FFFFFF"/>
        </w:rPr>
        <w:t>as per the Exemptions in the accounting standards notified by the Institute of Chartered Accountants of India</w:t>
      </w:r>
      <w:r w:rsidRPr="00DE7B24">
        <w:rPr>
          <w:rFonts w:ascii="Book Antiqua" w:hAnsi="Book Antiqua" w:cs="Poppins"/>
          <w:sz w:val="22"/>
          <w:szCs w:val="22"/>
          <w:shd w:val="clear" w:color="auto" w:fill="FFFFFF"/>
        </w:rPr>
        <w:t xml:space="preserve">. </w:t>
      </w:r>
    </w:p>
    <w:p w14:paraId="2AC4B6B8" w14:textId="77777777" w:rsidR="00FD4CF5" w:rsidRDefault="00FD4CF5" w:rsidP="00FD4CF5">
      <w:pPr>
        <w:pStyle w:val="ListParagraph"/>
        <w:jc w:val="both"/>
        <w:rPr>
          <w:rFonts w:ascii="Book Antiqua" w:hAnsi="Book Antiqua" w:cs="Poppins"/>
          <w:b/>
          <w:bCs/>
          <w:sz w:val="22"/>
          <w:szCs w:val="22"/>
          <w:shd w:val="clear" w:color="auto" w:fill="FFFFFF"/>
        </w:rPr>
      </w:pPr>
    </w:p>
    <w:p w14:paraId="579D65A4" w14:textId="27A04522" w:rsidR="00041C83" w:rsidRPr="00DE7B24" w:rsidRDefault="00FD4CF5" w:rsidP="00041C83">
      <w:pPr>
        <w:pStyle w:val="ListParagraph"/>
        <w:numPr>
          <w:ilvl w:val="1"/>
          <w:numId w:val="2"/>
        </w:numPr>
        <w:jc w:val="both"/>
        <w:rPr>
          <w:rFonts w:ascii="Book Antiqua" w:hAnsi="Book Antiqua" w:cs="Poppins"/>
          <w:b/>
          <w:bCs/>
          <w:sz w:val="22"/>
          <w:szCs w:val="22"/>
          <w:shd w:val="clear" w:color="auto" w:fill="FFFFFF"/>
        </w:rPr>
      </w:pPr>
      <w:r>
        <w:rPr>
          <w:rFonts w:ascii="Book Antiqua" w:hAnsi="Book Antiqua" w:cs="Poppins"/>
          <w:b/>
          <w:bCs/>
          <w:sz w:val="22"/>
          <w:szCs w:val="22"/>
          <w:shd w:val="clear" w:color="auto" w:fill="FFFFFF"/>
        </w:rPr>
        <w:t>Intangible Assets (AS – 26)</w:t>
      </w:r>
      <w:r w:rsidR="00041C83" w:rsidRPr="00DE7B24">
        <w:rPr>
          <w:rFonts w:ascii="Book Antiqua" w:hAnsi="Book Antiqua" w:cs="Poppins"/>
          <w:b/>
          <w:bCs/>
          <w:sz w:val="22"/>
          <w:szCs w:val="22"/>
          <w:shd w:val="clear" w:color="auto" w:fill="FFFFFF"/>
        </w:rPr>
        <w:t xml:space="preserve"> </w:t>
      </w:r>
    </w:p>
    <w:p w14:paraId="4C512755" w14:textId="556AECA5" w:rsidR="00041C83" w:rsidRDefault="00041C83" w:rsidP="00041C83">
      <w:pPr>
        <w:pStyle w:val="ListParagraph"/>
        <w:jc w:val="both"/>
        <w:rPr>
          <w:rFonts w:ascii="Book Antiqua" w:hAnsi="Book Antiqua" w:cs="Poppins"/>
          <w:sz w:val="22"/>
          <w:szCs w:val="22"/>
          <w:shd w:val="clear" w:color="auto" w:fill="FFFFFF"/>
        </w:rPr>
      </w:pPr>
    </w:p>
    <w:p w14:paraId="2B0D7AD8" w14:textId="2389D00A" w:rsidR="00A51E17" w:rsidRDefault="00A51E17" w:rsidP="00041C83">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(to be disclosed only if the entity holds any intangible assets)</w:t>
      </w:r>
    </w:p>
    <w:p w14:paraId="77600BA9" w14:textId="77777777" w:rsidR="00A51E17" w:rsidRDefault="00A51E17" w:rsidP="00041C83">
      <w:pPr>
        <w:pStyle w:val="ListParagraph"/>
        <w:jc w:val="both"/>
        <w:rPr>
          <w:rFonts w:ascii="Book Antiqua" w:hAnsi="Book Antiqua" w:cs="Poppins"/>
          <w:sz w:val="22"/>
          <w:szCs w:val="22"/>
          <w:shd w:val="clear" w:color="auto" w:fill="FFFFFF"/>
        </w:rPr>
      </w:pPr>
    </w:p>
    <w:p w14:paraId="0BCD6EE2" w14:textId="01FBCC97" w:rsidR="00A51E17" w:rsidRPr="00A51E17" w:rsidRDefault="00A51E17" w:rsidP="00A51E17">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A</w:t>
      </w:r>
      <w:r w:rsidRPr="00A51E17">
        <w:rPr>
          <w:rFonts w:ascii="Book Antiqua" w:hAnsi="Book Antiqua" w:cs="Poppins"/>
          <w:sz w:val="22"/>
          <w:szCs w:val="22"/>
          <w:shd w:val="clear" w:color="auto" w:fill="FFFFFF"/>
        </w:rPr>
        <w:t xml:space="preserve">n intangible asset should </w:t>
      </w:r>
      <w:proofErr w:type="gramStart"/>
      <w:r>
        <w:rPr>
          <w:rFonts w:ascii="Book Antiqua" w:hAnsi="Book Antiqua" w:cs="Poppins"/>
          <w:sz w:val="22"/>
          <w:szCs w:val="22"/>
          <w:shd w:val="clear" w:color="auto" w:fill="FFFFFF"/>
        </w:rPr>
        <w:t>is</w:t>
      </w:r>
      <w:proofErr w:type="gramEnd"/>
      <w:r>
        <w:rPr>
          <w:rFonts w:ascii="Book Antiqua" w:hAnsi="Book Antiqua" w:cs="Poppins"/>
          <w:sz w:val="22"/>
          <w:szCs w:val="22"/>
          <w:shd w:val="clear" w:color="auto" w:fill="FFFFFF"/>
        </w:rPr>
        <w:t xml:space="preserve"> </w:t>
      </w:r>
      <w:r w:rsidRPr="00A51E17">
        <w:rPr>
          <w:rFonts w:ascii="Book Antiqua" w:hAnsi="Book Antiqua" w:cs="Poppins"/>
          <w:sz w:val="22"/>
          <w:szCs w:val="22"/>
          <w:shd w:val="clear" w:color="auto" w:fill="FFFFFF"/>
        </w:rPr>
        <w:t>recognised only if:</w:t>
      </w:r>
    </w:p>
    <w:p w14:paraId="4F2F6A90" w14:textId="77777777" w:rsidR="00A51E17" w:rsidRDefault="00A51E17" w:rsidP="00DA5275">
      <w:pPr>
        <w:pStyle w:val="ListParagraph"/>
        <w:numPr>
          <w:ilvl w:val="0"/>
          <w:numId w:val="12"/>
        </w:numPr>
        <w:jc w:val="both"/>
        <w:rPr>
          <w:rFonts w:ascii="Book Antiqua" w:hAnsi="Book Antiqua" w:cs="Poppins"/>
          <w:sz w:val="22"/>
          <w:szCs w:val="22"/>
          <w:shd w:val="clear" w:color="auto" w:fill="FFFFFF"/>
        </w:rPr>
      </w:pPr>
      <w:r w:rsidRPr="00A51E17">
        <w:rPr>
          <w:rFonts w:ascii="Book Antiqua" w:hAnsi="Book Antiqua" w:cs="Poppins"/>
          <w:sz w:val="22"/>
          <w:szCs w:val="22"/>
          <w:shd w:val="clear" w:color="auto" w:fill="FFFFFF"/>
        </w:rPr>
        <w:t>it is probable that the future economic benefits that are attributable to the asset will flow to the enterprise; and</w:t>
      </w:r>
    </w:p>
    <w:p w14:paraId="673A11BC" w14:textId="4BDF438E" w:rsidR="00A51E17" w:rsidRPr="00A51E17" w:rsidRDefault="00A51E17" w:rsidP="00DA5275">
      <w:pPr>
        <w:pStyle w:val="ListParagraph"/>
        <w:numPr>
          <w:ilvl w:val="0"/>
          <w:numId w:val="12"/>
        </w:numPr>
        <w:jc w:val="both"/>
        <w:rPr>
          <w:rFonts w:ascii="Book Antiqua" w:hAnsi="Book Antiqua" w:cs="Poppins"/>
          <w:sz w:val="22"/>
          <w:szCs w:val="22"/>
          <w:shd w:val="clear" w:color="auto" w:fill="FFFFFF"/>
        </w:rPr>
      </w:pPr>
      <w:r w:rsidRPr="00A51E17">
        <w:rPr>
          <w:rFonts w:ascii="Book Antiqua" w:hAnsi="Book Antiqua" w:cs="Poppins"/>
          <w:sz w:val="22"/>
          <w:szCs w:val="22"/>
          <w:shd w:val="clear" w:color="auto" w:fill="FFFFFF"/>
        </w:rPr>
        <w:t>the cost of the asset can be measured reliably.</w:t>
      </w:r>
    </w:p>
    <w:p w14:paraId="2B4D3F0F" w14:textId="77777777" w:rsidR="00A51E17" w:rsidRDefault="00A51E17" w:rsidP="00041C83">
      <w:pPr>
        <w:pStyle w:val="ListParagraph"/>
        <w:jc w:val="both"/>
        <w:rPr>
          <w:rFonts w:ascii="Book Antiqua" w:hAnsi="Book Antiqua" w:cs="Poppins"/>
          <w:sz w:val="22"/>
          <w:szCs w:val="22"/>
          <w:shd w:val="clear" w:color="auto" w:fill="FFFFFF"/>
        </w:rPr>
      </w:pPr>
    </w:p>
    <w:p w14:paraId="233EE46A" w14:textId="08792A02" w:rsidR="00A51E17" w:rsidRDefault="00A51E17" w:rsidP="00041C83">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The</w:t>
      </w:r>
      <w:r w:rsidRPr="00A51E17">
        <w:rPr>
          <w:rFonts w:ascii="Book Antiqua" w:hAnsi="Book Antiqua" w:cs="Poppins"/>
          <w:sz w:val="22"/>
          <w:szCs w:val="22"/>
          <w:shd w:val="clear" w:color="auto" w:fill="FFFFFF"/>
        </w:rPr>
        <w:t xml:space="preserve"> intangible asset </w:t>
      </w:r>
      <w:r>
        <w:rPr>
          <w:rFonts w:ascii="Book Antiqua" w:hAnsi="Book Antiqua" w:cs="Poppins"/>
          <w:sz w:val="22"/>
          <w:szCs w:val="22"/>
          <w:shd w:val="clear" w:color="auto" w:fill="FFFFFF"/>
        </w:rPr>
        <w:t>is</w:t>
      </w:r>
      <w:r w:rsidRPr="00A51E17">
        <w:rPr>
          <w:rFonts w:ascii="Book Antiqua" w:hAnsi="Book Antiqua" w:cs="Poppins"/>
          <w:sz w:val="22"/>
          <w:szCs w:val="22"/>
          <w:shd w:val="clear" w:color="auto" w:fill="FFFFFF"/>
        </w:rPr>
        <w:t xml:space="preserve"> measured initially at cost.</w:t>
      </w:r>
    </w:p>
    <w:p w14:paraId="3255C872" w14:textId="77777777" w:rsidR="00A51E17" w:rsidRDefault="00A51E17" w:rsidP="00041C83">
      <w:pPr>
        <w:pStyle w:val="ListParagraph"/>
        <w:jc w:val="both"/>
        <w:rPr>
          <w:rFonts w:ascii="Book Antiqua" w:hAnsi="Book Antiqua" w:cs="Poppins"/>
          <w:sz w:val="22"/>
          <w:szCs w:val="22"/>
          <w:shd w:val="clear" w:color="auto" w:fill="FFFFFF"/>
        </w:rPr>
      </w:pPr>
    </w:p>
    <w:p w14:paraId="746A78B6" w14:textId="06DC3A31" w:rsidR="00A51E17" w:rsidRPr="00DE7B24" w:rsidRDefault="00A51E17" w:rsidP="00041C83">
      <w:pPr>
        <w:pStyle w:val="ListParagraph"/>
        <w:jc w:val="both"/>
        <w:rPr>
          <w:rFonts w:ascii="Book Antiqua" w:hAnsi="Book Antiqua" w:cs="Poppins"/>
          <w:sz w:val="22"/>
          <w:szCs w:val="22"/>
          <w:shd w:val="clear" w:color="auto" w:fill="FFFFFF"/>
        </w:rPr>
      </w:pPr>
      <w:r w:rsidRPr="00A51E17">
        <w:rPr>
          <w:rFonts w:ascii="Book Antiqua" w:hAnsi="Book Antiqua" w:cs="Poppins"/>
          <w:sz w:val="22"/>
          <w:szCs w:val="22"/>
          <w:shd w:val="clear" w:color="auto" w:fill="FFFFFF"/>
        </w:rPr>
        <w:t>The amortisation method reflect</w:t>
      </w:r>
      <w:r>
        <w:rPr>
          <w:rFonts w:ascii="Book Antiqua" w:hAnsi="Book Antiqua" w:cs="Poppins"/>
          <w:sz w:val="22"/>
          <w:szCs w:val="22"/>
          <w:shd w:val="clear" w:color="auto" w:fill="FFFFFF"/>
        </w:rPr>
        <w:t>s</w:t>
      </w:r>
      <w:r w:rsidRPr="00A51E17">
        <w:rPr>
          <w:rFonts w:ascii="Book Antiqua" w:hAnsi="Book Antiqua" w:cs="Poppins"/>
          <w:sz w:val="22"/>
          <w:szCs w:val="22"/>
          <w:shd w:val="clear" w:color="auto" w:fill="FFFFFF"/>
        </w:rPr>
        <w:t xml:space="preserve"> the pattern in which the asset's economic benefits are consumed by the enterprise.</w:t>
      </w:r>
    </w:p>
    <w:p w14:paraId="34F68074" w14:textId="14F3277D" w:rsidR="00041C83" w:rsidRPr="00041C83" w:rsidRDefault="00041C83" w:rsidP="00041C83">
      <w:pPr>
        <w:jc w:val="both"/>
        <w:rPr>
          <w:rFonts w:ascii="Book Antiqua" w:hAnsi="Book Antiqua" w:cs="Poppins"/>
          <w:sz w:val="22"/>
          <w:szCs w:val="22"/>
          <w:shd w:val="clear" w:color="auto" w:fill="FFFFFF"/>
        </w:rPr>
      </w:pPr>
      <w:r>
        <w:rPr>
          <w:rFonts w:ascii="Book Antiqua" w:hAnsi="Book Antiqua" w:cs="Poppins"/>
          <w:b/>
          <w:bCs/>
          <w:sz w:val="22"/>
          <w:szCs w:val="22"/>
          <w:shd w:val="clear" w:color="auto" w:fill="FFFFFF"/>
        </w:rPr>
        <w:t>C</w:t>
      </w:r>
      <w:r w:rsidRPr="00DE7B24">
        <w:rPr>
          <w:rFonts w:ascii="Book Antiqua" w:hAnsi="Book Antiqua" w:cs="Poppins"/>
          <w:b/>
          <w:bCs/>
          <w:sz w:val="22"/>
          <w:szCs w:val="22"/>
          <w:shd w:val="clear" w:color="auto" w:fill="FFFFFF"/>
        </w:rPr>
        <w:t xml:space="preserve">: </w:t>
      </w:r>
      <w:r>
        <w:rPr>
          <w:rFonts w:ascii="Book Antiqua" w:hAnsi="Book Antiqua" w:cs="Poppins"/>
          <w:b/>
          <w:bCs/>
          <w:sz w:val="22"/>
          <w:szCs w:val="22"/>
          <w:shd w:val="clear" w:color="auto" w:fill="FFFFFF"/>
        </w:rPr>
        <w:t>Additional Statutory Disclosures and Other Disclosures</w:t>
      </w:r>
    </w:p>
    <w:p w14:paraId="7C871177" w14:textId="77777777" w:rsidR="00DE7B24" w:rsidRPr="00DE7B24" w:rsidRDefault="00BC5EDB"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MSME Trade Payables </w:t>
      </w:r>
    </w:p>
    <w:p w14:paraId="32663214" w14:textId="77777777" w:rsidR="00DE7B24" w:rsidRDefault="00DE7B24" w:rsidP="00DE7B24">
      <w:pPr>
        <w:pStyle w:val="ListParagraph"/>
        <w:jc w:val="both"/>
        <w:rPr>
          <w:rFonts w:ascii="Book Antiqua" w:hAnsi="Book Antiqua" w:cs="Poppins"/>
          <w:sz w:val="22"/>
          <w:szCs w:val="22"/>
          <w:shd w:val="clear" w:color="auto" w:fill="FFFFFF"/>
        </w:rPr>
      </w:pPr>
    </w:p>
    <w:p w14:paraId="3B5C8B67" w14:textId="146B328A" w:rsidR="007118D3" w:rsidRPr="00DE7B24" w:rsidRDefault="007118D3" w:rsidP="00DE7B24">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(if disclosure is not available)</w:t>
      </w:r>
    </w:p>
    <w:p w14:paraId="74F6FC5C" w14:textId="77777777" w:rsidR="00DE7B24" w:rsidRDefault="00BC5EDB"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The management has not provided bifurcation of creditors under the Micro, Small and Medium Enterprises Development Act, 2006 (MSMED Act). Accordingly, the disclosure regarding the amount payable to such enterprises and the interest, if any, due thereon, is not made. Further, the status of payment to such parties has not been independently verified by us. </w:t>
      </w:r>
    </w:p>
    <w:p w14:paraId="6D99E438" w14:textId="77777777" w:rsidR="007118D3" w:rsidRDefault="007118D3" w:rsidP="00DE7B24">
      <w:pPr>
        <w:pStyle w:val="ListParagraph"/>
        <w:jc w:val="both"/>
        <w:rPr>
          <w:rFonts w:ascii="Book Antiqua" w:hAnsi="Book Antiqua" w:cs="Poppins"/>
          <w:sz w:val="22"/>
          <w:szCs w:val="22"/>
          <w:shd w:val="clear" w:color="auto" w:fill="FFFFFF"/>
        </w:rPr>
      </w:pPr>
    </w:p>
    <w:p w14:paraId="29A02035" w14:textId="77777777" w:rsidR="00490113" w:rsidRDefault="00490113" w:rsidP="00DE7B24">
      <w:pPr>
        <w:pStyle w:val="ListParagraph"/>
        <w:jc w:val="both"/>
        <w:rPr>
          <w:rFonts w:ascii="Book Antiqua" w:hAnsi="Book Antiqua" w:cs="Poppins"/>
          <w:sz w:val="22"/>
          <w:szCs w:val="22"/>
          <w:shd w:val="clear" w:color="auto" w:fill="FFFFFF"/>
        </w:rPr>
      </w:pPr>
    </w:p>
    <w:p w14:paraId="4AE60E40" w14:textId="77777777" w:rsidR="00490113" w:rsidRDefault="00490113" w:rsidP="00DE7B24">
      <w:pPr>
        <w:pStyle w:val="ListParagraph"/>
        <w:jc w:val="both"/>
        <w:rPr>
          <w:rFonts w:ascii="Book Antiqua" w:hAnsi="Book Antiqua" w:cs="Poppins"/>
          <w:sz w:val="22"/>
          <w:szCs w:val="22"/>
          <w:shd w:val="clear" w:color="auto" w:fill="FFFFFF"/>
        </w:rPr>
      </w:pPr>
    </w:p>
    <w:p w14:paraId="662F014C" w14:textId="7F0055BC" w:rsidR="007118D3" w:rsidRDefault="007118D3" w:rsidP="00DE7B24">
      <w:pPr>
        <w:pStyle w:val="ListParagraph"/>
        <w:jc w:val="both"/>
        <w:rPr>
          <w:rFonts w:ascii="Book Antiqua" w:hAnsi="Book Antiqua" w:cs="Poppins"/>
          <w:sz w:val="22"/>
          <w:szCs w:val="22"/>
          <w:shd w:val="clear" w:color="auto" w:fill="FFFFFF"/>
        </w:rPr>
      </w:pPr>
      <w:r>
        <w:rPr>
          <w:rFonts w:ascii="Book Antiqua" w:hAnsi="Book Antiqua" w:cs="Poppins"/>
          <w:sz w:val="22"/>
          <w:szCs w:val="22"/>
          <w:shd w:val="clear" w:color="auto" w:fill="FFFFFF"/>
        </w:rPr>
        <w:t>(if disclosure is available)</w:t>
      </w:r>
    </w:p>
    <w:p w14:paraId="3CE8CC1C" w14:textId="0BE447EB" w:rsidR="007118D3" w:rsidRDefault="007118D3" w:rsidP="00DE7B24">
      <w:pPr>
        <w:pStyle w:val="ListParagraph"/>
        <w:jc w:val="both"/>
        <w:rPr>
          <w:rFonts w:ascii="Book Antiqua" w:hAnsi="Book Antiqua" w:cs="Poppins"/>
          <w:sz w:val="22"/>
          <w:szCs w:val="22"/>
          <w:shd w:val="clear" w:color="auto" w:fill="FFFFFF"/>
        </w:rPr>
      </w:pPr>
      <w:r w:rsidRPr="007118D3">
        <w:rPr>
          <w:rFonts w:ascii="Book Antiqua" w:hAnsi="Book Antiqua" w:cs="Poppins"/>
          <w:sz w:val="22"/>
          <w:szCs w:val="22"/>
          <w:shd w:val="clear" w:color="auto" w:fill="FFFFFF"/>
        </w:rPr>
        <w:t>Information as required to be furnished as per section 22 of the Micro, Small and Medium Enterprises Development Act, 2006 (MSMED Act)</w:t>
      </w:r>
      <w:r>
        <w:rPr>
          <w:rFonts w:ascii="Book Antiqua" w:hAnsi="Book Antiqua" w:cs="Poppins"/>
          <w:sz w:val="22"/>
          <w:szCs w:val="22"/>
          <w:shd w:val="clear" w:color="auto" w:fill="FFFFFF"/>
        </w:rPr>
        <w:t xml:space="preserve"> is furnished hereunder</w:t>
      </w:r>
    </w:p>
    <w:tbl>
      <w:tblPr>
        <w:tblW w:w="9780" w:type="dxa"/>
        <w:tblLook w:val="04A0" w:firstRow="1" w:lastRow="0" w:firstColumn="1" w:lastColumn="0" w:noHBand="0" w:noVBand="1"/>
      </w:tblPr>
      <w:tblGrid>
        <w:gridCol w:w="711"/>
        <w:gridCol w:w="1857"/>
        <w:gridCol w:w="837"/>
        <w:gridCol w:w="837"/>
        <w:gridCol w:w="837"/>
        <w:gridCol w:w="1972"/>
        <w:gridCol w:w="1400"/>
        <w:gridCol w:w="1400"/>
      </w:tblGrid>
      <w:tr w:rsidR="007118D3" w:rsidRPr="007118D3" w14:paraId="694FB27D" w14:textId="77777777" w:rsidTr="007118D3">
        <w:trPr>
          <w:trHeight w:val="330"/>
        </w:trPr>
        <w:tc>
          <w:tcPr>
            <w:tcW w:w="640" w:type="dxa"/>
            <w:tcBorders>
              <w:top w:val="single" w:sz="4" w:space="0" w:color="auto"/>
              <w:left w:val="single" w:sz="4" w:space="0" w:color="auto"/>
              <w:bottom w:val="single" w:sz="4" w:space="0" w:color="auto"/>
              <w:right w:val="nil"/>
            </w:tcBorders>
            <w:shd w:val="clear" w:color="auto" w:fill="auto"/>
            <w:vAlign w:val="center"/>
            <w:hideMark/>
          </w:tcPr>
          <w:p w14:paraId="07512286" w14:textId="77777777"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proofErr w:type="spellStart"/>
            <w:proofErr w:type="gramStart"/>
            <w:r w:rsidRPr="007118D3">
              <w:rPr>
                <w:rFonts w:ascii="Book Antiqua" w:eastAsia="Times New Roman" w:hAnsi="Book Antiqua" w:cs="Arial"/>
                <w:b/>
                <w:bCs/>
                <w:kern w:val="0"/>
                <w:sz w:val="22"/>
                <w:szCs w:val="22"/>
                <w:lang w:eastAsia="en-IN" w:bidi="ta-IN"/>
                <w14:ligatures w14:val="none"/>
              </w:rPr>
              <w:t>S.No</w:t>
            </w:r>
            <w:proofErr w:type="spellEnd"/>
            <w:proofErr w:type="gramEnd"/>
          </w:p>
        </w:tc>
        <w:tc>
          <w:tcPr>
            <w:tcW w:w="63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EA614E4" w14:textId="77777777"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Particulars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547C6118" w14:textId="2C4D5C34"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31/03/202</w:t>
            </w:r>
            <w:r>
              <w:rPr>
                <w:rFonts w:ascii="Book Antiqua" w:eastAsia="Times New Roman" w:hAnsi="Book Antiqua" w:cs="Arial"/>
                <w:b/>
                <w:bCs/>
                <w:kern w:val="0"/>
                <w:sz w:val="22"/>
                <w:szCs w:val="22"/>
                <w:lang w:eastAsia="en-IN" w:bidi="ta-IN"/>
                <w14:ligatures w14:val="none"/>
              </w:rPr>
              <w:t>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42A5AFA2" w14:textId="59B5FF4F"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31/03/202</w:t>
            </w:r>
            <w:r>
              <w:rPr>
                <w:rFonts w:ascii="Book Antiqua" w:eastAsia="Times New Roman" w:hAnsi="Book Antiqua" w:cs="Arial"/>
                <w:b/>
                <w:bCs/>
                <w:kern w:val="0"/>
                <w:sz w:val="22"/>
                <w:szCs w:val="22"/>
                <w:lang w:eastAsia="en-IN" w:bidi="ta-IN"/>
                <w14:ligatures w14:val="none"/>
              </w:rPr>
              <w:t>4</w:t>
            </w:r>
          </w:p>
        </w:tc>
      </w:tr>
      <w:tr w:rsidR="007118D3" w:rsidRPr="007118D3" w14:paraId="71051D5D" w14:textId="77777777" w:rsidTr="007118D3">
        <w:trPr>
          <w:trHeight w:val="330"/>
        </w:trPr>
        <w:tc>
          <w:tcPr>
            <w:tcW w:w="640" w:type="dxa"/>
            <w:vMerge w:val="restart"/>
            <w:tcBorders>
              <w:top w:val="nil"/>
              <w:left w:val="single" w:sz="4" w:space="0" w:color="auto"/>
              <w:bottom w:val="nil"/>
              <w:right w:val="nil"/>
            </w:tcBorders>
            <w:shd w:val="clear" w:color="auto" w:fill="auto"/>
            <w:noWrap/>
            <w:vAlign w:val="center"/>
            <w:hideMark/>
          </w:tcPr>
          <w:p w14:paraId="317F610B" w14:textId="77777777" w:rsidR="007118D3" w:rsidRPr="007118D3" w:rsidRDefault="007118D3" w:rsidP="007118D3">
            <w:pPr>
              <w:spacing w:after="0" w:line="240" w:lineRule="auto"/>
              <w:jc w:val="center"/>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1</w:t>
            </w:r>
          </w:p>
        </w:tc>
        <w:tc>
          <w:tcPr>
            <w:tcW w:w="6340" w:type="dxa"/>
            <w:gridSpan w:val="5"/>
            <w:vMerge w:val="restart"/>
            <w:tcBorders>
              <w:top w:val="nil"/>
              <w:left w:val="single" w:sz="4" w:space="0" w:color="auto"/>
              <w:bottom w:val="nil"/>
              <w:right w:val="single" w:sz="4" w:space="0" w:color="000000"/>
            </w:tcBorders>
            <w:shd w:val="clear" w:color="auto" w:fill="auto"/>
            <w:vAlign w:val="center"/>
            <w:hideMark/>
          </w:tcPr>
          <w:p w14:paraId="7EBAB198"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r w:rsidRPr="007118D3">
              <w:rPr>
                <w:rFonts w:ascii="Book Antiqua" w:eastAsia="Times New Roman" w:hAnsi="Book Antiqua" w:cs="Arial"/>
                <w:kern w:val="0"/>
                <w:sz w:val="22"/>
                <w:szCs w:val="22"/>
                <w:lang w:eastAsia="en-IN" w:bidi="ta-IN"/>
                <w14:ligatures w14:val="none"/>
              </w:rPr>
              <w:t>Principal amount and interest due thereon remaining unpaid to supplier as at the end of each accounting year:</w:t>
            </w:r>
          </w:p>
        </w:tc>
        <w:tc>
          <w:tcPr>
            <w:tcW w:w="1400" w:type="dxa"/>
            <w:tcBorders>
              <w:top w:val="nil"/>
              <w:left w:val="nil"/>
              <w:bottom w:val="nil"/>
              <w:right w:val="single" w:sz="4" w:space="0" w:color="auto"/>
            </w:tcBorders>
            <w:shd w:val="clear" w:color="auto" w:fill="auto"/>
            <w:noWrap/>
            <w:vAlign w:val="bottom"/>
            <w:hideMark/>
          </w:tcPr>
          <w:p w14:paraId="5B3C02D0"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2844C34D"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6C5A2B6D" w14:textId="77777777" w:rsidTr="007118D3">
        <w:trPr>
          <w:trHeight w:val="330"/>
        </w:trPr>
        <w:tc>
          <w:tcPr>
            <w:tcW w:w="640" w:type="dxa"/>
            <w:vMerge/>
            <w:tcBorders>
              <w:top w:val="nil"/>
              <w:left w:val="single" w:sz="4" w:space="0" w:color="auto"/>
              <w:bottom w:val="nil"/>
              <w:right w:val="nil"/>
            </w:tcBorders>
            <w:vAlign w:val="center"/>
            <w:hideMark/>
          </w:tcPr>
          <w:p w14:paraId="6C44620F"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nil"/>
              <w:right w:val="single" w:sz="4" w:space="0" w:color="000000"/>
            </w:tcBorders>
            <w:vAlign w:val="center"/>
            <w:hideMark/>
          </w:tcPr>
          <w:p w14:paraId="1672BB3C"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4A85A1EC"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03A1AC43"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064D69F1" w14:textId="77777777" w:rsidTr="007118D3">
        <w:trPr>
          <w:trHeight w:val="330"/>
        </w:trPr>
        <w:tc>
          <w:tcPr>
            <w:tcW w:w="640" w:type="dxa"/>
            <w:tcBorders>
              <w:top w:val="nil"/>
              <w:left w:val="single" w:sz="4" w:space="0" w:color="auto"/>
              <w:bottom w:val="nil"/>
              <w:right w:val="nil"/>
            </w:tcBorders>
            <w:shd w:val="clear" w:color="auto" w:fill="auto"/>
            <w:noWrap/>
            <w:vAlign w:val="bottom"/>
            <w:hideMark/>
          </w:tcPr>
          <w:p w14:paraId="5A40F16D"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6340" w:type="dxa"/>
            <w:gridSpan w:val="5"/>
            <w:tcBorders>
              <w:top w:val="nil"/>
              <w:left w:val="single" w:sz="4" w:space="0" w:color="auto"/>
              <w:bottom w:val="nil"/>
              <w:right w:val="single" w:sz="4" w:space="0" w:color="000000"/>
            </w:tcBorders>
            <w:shd w:val="clear" w:color="auto" w:fill="auto"/>
            <w:vAlign w:val="center"/>
            <w:hideMark/>
          </w:tcPr>
          <w:p w14:paraId="087AD41E" w14:textId="77777777" w:rsidR="007118D3" w:rsidRPr="007118D3" w:rsidRDefault="007118D3" w:rsidP="007118D3">
            <w:pPr>
              <w:spacing w:after="0" w:line="240" w:lineRule="auto"/>
              <w:rPr>
                <w:rFonts w:ascii="Book Antiqua" w:eastAsia="Times New Roman" w:hAnsi="Book Antiqua" w:cs="Arial"/>
                <w:i/>
                <w:iCs/>
                <w:kern w:val="0"/>
                <w:sz w:val="22"/>
                <w:szCs w:val="22"/>
                <w:lang w:eastAsia="en-IN" w:bidi="ta-IN"/>
                <w14:ligatures w14:val="none"/>
              </w:rPr>
            </w:pPr>
            <w:r w:rsidRPr="007118D3">
              <w:rPr>
                <w:rFonts w:ascii="Book Antiqua" w:eastAsia="Times New Roman" w:hAnsi="Book Antiqua" w:cs="Arial"/>
                <w:i/>
                <w:iCs/>
                <w:kern w:val="0"/>
                <w:sz w:val="22"/>
                <w:szCs w:val="22"/>
                <w:lang w:eastAsia="en-IN" w:bidi="ta-IN"/>
                <w14:ligatures w14:val="none"/>
              </w:rPr>
              <w:t>Principal amount due to micro &amp; small enterprises</w:t>
            </w:r>
          </w:p>
        </w:tc>
        <w:tc>
          <w:tcPr>
            <w:tcW w:w="1400" w:type="dxa"/>
            <w:tcBorders>
              <w:top w:val="nil"/>
              <w:left w:val="nil"/>
              <w:bottom w:val="nil"/>
              <w:right w:val="single" w:sz="4" w:space="0" w:color="auto"/>
            </w:tcBorders>
            <w:shd w:val="clear" w:color="auto" w:fill="auto"/>
            <w:noWrap/>
            <w:vAlign w:val="bottom"/>
            <w:hideMark/>
          </w:tcPr>
          <w:p w14:paraId="6B283D7D" w14:textId="1876FABA"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01CBE644" w14:textId="277D60ED"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xml:space="preserve"> </w:t>
            </w:r>
          </w:p>
        </w:tc>
      </w:tr>
      <w:tr w:rsidR="007118D3" w:rsidRPr="007118D3" w14:paraId="3AFBEE66" w14:textId="77777777" w:rsidTr="007118D3">
        <w:trPr>
          <w:trHeight w:val="330"/>
        </w:trPr>
        <w:tc>
          <w:tcPr>
            <w:tcW w:w="640" w:type="dxa"/>
            <w:tcBorders>
              <w:top w:val="nil"/>
              <w:left w:val="single" w:sz="4" w:space="0" w:color="auto"/>
              <w:bottom w:val="nil"/>
              <w:right w:val="nil"/>
            </w:tcBorders>
            <w:shd w:val="clear" w:color="auto" w:fill="auto"/>
            <w:noWrap/>
            <w:vAlign w:val="bottom"/>
            <w:hideMark/>
          </w:tcPr>
          <w:p w14:paraId="62E5EE9C"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6340" w:type="dxa"/>
            <w:gridSpan w:val="5"/>
            <w:tcBorders>
              <w:top w:val="nil"/>
              <w:left w:val="single" w:sz="4" w:space="0" w:color="auto"/>
              <w:bottom w:val="nil"/>
              <w:right w:val="single" w:sz="4" w:space="0" w:color="000000"/>
            </w:tcBorders>
            <w:shd w:val="clear" w:color="auto" w:fill="auto"/>
            <w:vAlign w:val="center"/>
            <w:hideMark/>
          </w:tcPr>
          <w:p w14:paraId="29FFC003" w14:textId="77777777" w:rsidR="007118D3" w:rsidRPr="007118D3" w:rsidRDefault="007118D3" w:rsidP="007118D3">
            <w:pPr>
              <w:spacing w:after="0" w:line="240" w:lineRule="auto"/>
              <w:rPr>
                <w:rFonts w:ascii="Book Antiqua" w:eastAsia="Times New Roman" w:hAnsi="Book Antiqua" w:cs="Arial"/>
                <w:i/>
                <w:iCs/>
                <w:kern w:val="0"/>
                <w:sz w:val="22"/>
                <w:szCs w:val="22"/>
                <w:lang w:eastAsia="en-IN" w:bidi="ta-IN"/>
                <w14:ligatures w14:val="none"/>
              </w:rPr>
            </w:pPr>
            <w:r w:rsidRPr="007118D3">
              <w:rPr>
                <w:rFonts w:ascii="Book Antiqua" w:eastAsia="Times New Roman" w:hAnsi="Book Antiqua" w:cs="Arial"/>
                <w:i/>
                <w:iCs/>
                <w:kern w:val="0"/>
                <w:sz w:val="22"/>
                <w:szCs w:val="22"/>
                <w:lang w:eastAsia="en-IN" w:bidi="ta-IN"/>
                <w14:ligatures w14:val="none"/>
              </w:rPr>
              <w:t>Interest due on above</w:t>
            </w:r>
          </w:p>
        </w:tc>
        <w:tc>
          <w:tcPr>
            <w:tcW w:w="1400" w:type="dxa"/>
            <w:tcBorders>
              <w:top w:val="nil"/>
              <w:left w:val="nil"/>
              <w:bottom w:val="nil"/>
              <w:right w:val="single" w:sz="4" w:space="0" w:color="auto"/>
            </w:tcBorders>
            <w:shd w:val="clear" w:color="auto" w:fill="auto"/>
            <w:noWrap/>
            <w:vAlign w:val="bottom"/>
            <w:hideMark/>
          </w:tcPr>
          <w:p w14:paraId="53760C7A"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2C998E8"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6CE8D3DC" w14:textId="77777777" w:rsidTr="007118D3">
        <w:trPr>
          <w:trHeight w:val="330"/>
        </w:trPr>
        <w:tc>
          <w:tcPr>
            <w:tcW w:w="640" w:type="dxa"/>
            <w:tcBorders>
              <w:top w:val="nil"/>
              <w:left w:val="single" w:sz="4" w:space="0" w:color="auto"/>
              <w:bottom w:val="nil"/>
              <w:right w:val="nil"/>
            </w:tcBorders>
            <w:shd w:val="clear" w:color="auto" w:fill="auto"/>
            <w:noWrap/>
            <w:vAlign w:val="bottom"/>
            <w:hideMark/>
          </w:tcPr>
          <w:p w14:paraId="6DF58B1B"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1857" w:type="dxa"/>
            <w:tcBorders>
              <w:top w:val="nil"/>
              <w:left w:val="single" w:sz="4" w:space="0" w:color="auto"/>
              <w:bottom w:val="nil"/>
              <w:right w:val="nil"/>
            </w:tcBorders>
            <w:shd w:val="clear" w:color="auto" w:fill="auto"/>
            <w:noWrap/>
            <w:vAlign w:val="bottom"/>
            <w:hideMark/>
          </w:tcPr>
          <w:p w14:paraId="7FE672A8" w14:textId="77777777" w:rsidR="007118D3" w:rsidRPr="007118D3" w:rsidRDefault="007118D3" w:rsidP="007118D3">
            <w:pPr>
              <w:spacing w:after="0" w:line="240" w:lineRule="auto"/>
              <w:jc w:val="both"/>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837" w:type="dxa"/>
            <w:tcBorders>
              <w:top w:val="nil"/>
              <w:left w:val="nil"/>
              <w:bottom w:val="nil"/>
              <w:right w:val="nil"/>
            </w:tcBorders>
            <w:shd w:val="clear" w:color="auto" w:fill="auto"/>
            <w:noWrap/>
            <w:vAlign w:val="bottom"/>
            <w:hideMark/>
          </w:tcPr>
          <w:p w14:paraId="46C98DF1" w14:textId="77777777" w:rsidR="007118D3" w:rsidRPr="007118D3" w:rsidRDefault="007118D3" w:rsidP="007118D3">
            <w:pPr>
              <w:spacing w:after="0" w:line="240" w:lineRule="auto"/>
              <w:jc w:val="both"/>
              <w:rPr>
                <w:rFonts w:ascii="Book Antiqua" w:eastAsia="Times New Roman" w:hAnsi="Book Antiqua" w:cs="Arial"/>
                <w:kern w:val="0"/>
                <w:sz w:val="20"/>
                <w:szCs w:val="20"/>
                <w:lang w:eastAsia="en-IN" w:bidi="ta-IN"/>
                <w14:ligatures w14:val="none"/>
              </w:rPr>
            </w:pPr>
          </w:p>
        </w:tc>
        <w:tc>
          <w:tcPr>
            <w:tcW w:w="837" w:type="dxa"/>
            <w:tcBorders>
              <w:top w:val="nil"/>
              <w:left w:val="nil"/>
              <w:bottom w:val="nil"/>
              <w:right w:val="nil"/>
            </w:tcBorders>
            <w:shd w:val="clear" w:color="auto" w:fill="auto"/>
            <w:noWrap/>
            <w:vAlign w:val="bottom"/>
            <w:hideMark/>
          </w:tcPr>
          <w:p w14:paraId="3D573A95" w14:textId="77777777" w:rsidR="007118D3" w:rsidRPr="007118D3" w:rsidRDefault="007118D3" w:rsidP="007118D3">
            <w:pPr>
              <w:spacing w:after="0" w:line="240" w:lineRule="auto"/>
              <w:jc w:val="both"/>
              <w:rPr>
                <w:rFonts w:ascii="Times New Roman" w:eastAsia="Times New Roman" w:hAnsi="Times New Roman" w:cs="Times New Roman"/>
                <w:kern w:val="0"/>
                <w:sz w:val="20"/>
                <w:szCs w:val="20"/>
                <w:lang w:eastAsia="en-IN" w:bidi="ta-IN"/>
                <w14:ligatures w14:val="none"/>
              </w:rPr>
            </w:pPr>
          </w:p>
        </w:tc>
        <w:tc>
          <w:tcPr>
            <w:tcW w:w="837" w:type="dxa"/>
            <w:tcBorders>
              <w:top w:val="nil"/>
              <w:left w:val="nil"/>
              <w:bottom w:val="nil"/>
              <w:right w:val="nil"/>
            </w:tcBorders>
            <w:shd w:val="clear" w:color="auto" w:fill="auto"/>
            <w:noWrap/>
            <w:vAlign w:val="bottom"/>
            <w:hideMark/>
          </w:tcPr>
          <w:p w14:paraId="566F2C69" w14:textId="77777777" w:rsidR="007118D3" w:rsidRPr="007118D3" w:rsidRDefault="007118D3" w:rsidP="007118D3">
            <w:pPr>
              <w:spacing w:after="0" w:line="240" w:lineRule="auto"/>
              <w:rPr>
                <w:rFonts w:ascii="Times New Roman" w:eastAsia="Times New Roman" w:hAnsi="Times New Roman" w:cs="Times New Roman"/>
                <w:kern w:val="0"/>
                <w:sz w:val="20"/>
                <w:szCs w:val="20"/>
                <w:lang w:eastAsia="en-IN" w:bidi="ta-IN"/>
                <w14:ligatures w14:val="none"/>
              </w:rPr>
            </w:pPr>
          </w:p>
        </w:tc>
        <w:tc>
          <w:tcPr>
            <w:tcW w:w="1972" w:type="dxa"/>
            <w:tcBorders>
              <w:top w:val="nil"/>
              <w:left w:val="nil"/>
              <w:bottom w:val="nil"/>
              <w:right w:val="single" w:sz="4" w:space="0" w:color="auto"/>
            </w:tcBorders>
            <w:shd w:val="clear" w:color="auto" w:fill="auto"/>
            <w:noWrap/>
            <w:vAlign w:val="bottom"/>
            <w:hideMark/>
          </w:tcPr>
          <w:p w14:paraId="0207A086" w14:textId="77777777"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9A5E920"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6CED7686"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2F8BBC8A" w14:textId="77777777" w:rsidTr="007118D3">
        <w:trPr>
          <w:trHeight w:val="330"/>
        </w:trPr>
        <w:tc>
          <w:tcPr>
            <w:tcW w:w="640" w:type="dxa"/>
            <w:vMerge w:val="restart"/>
            <w:tcBorders>
              <w:top w:val="nil"/>
              <w:left w:val="single" w:sz="4" w:space="0" w:color="auto"/>
              <w:bottom w:val="nil"/>
              <w:right w:val="nil"/>
            </w:tcBorders>
            <w:shd w:val="clear" w:color="auto" w:fill="auto"/>
            <w:noWrap/>
            <w:vAlign w:val="center"/>
            <w:hideMark/>
          </w:tcPr>
          <w:p w14:paraId="3B148F64" w14:textId="77777777" w:rsidR="007118D3" w:rsidRPr="007118D3" w:rsidRDefault="007118D3" w:rsidP="007118D3">
            <w:pPr>
              <w:spacing w:after="0" w:line="240" w:lineRule="auto"/>
              <w:jc w:val="center"/>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2</w:t>
            </w:r>
          </w:p>
        </w:tc>
        <w:tc>
          <w:tcPr>
            <w:tcW w:w="6340" w:type="dxa"/>
            <w:gridSpan w:val="5"/>
            <w:vMerge w:val="restart"/>
            <w:tcBorders>
              <w:top w:val="nil"/>
              <w:left w:val="single" w:sz="4" w:space="0" w:color="auto"/>
              <w:bottom w:val="nil"/>
              <w:right w:val="single" w:sz="4" w:space="0" w:color="000000"/>
            </w:tcBorders>
            <w:shd w:val="clear" w:color="auto" w:fill="auto"/>
            <w:vAlign w:val="center"/>
            <w:hideMark/>
          </w:tcPr>
          <w:p w14:paraId="1ECDBB88"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r w:rsidRPr="007118D3">
              <w:rPr>
                <w:rFonts w:ascii="Book Antiqua" w:eastAsia="Times New Roman" w:hAnsi="Book Antiqua" w:cs="Arial"/>
                <w:kern w:val="0"/>
                <w:sz w:val="22"/>
                <w:szCs w:val="22"/>
                <w:lang w:eastAsia="en-IN" w:bidi="ta-IN"/>
                <w14:ligatures w14:val="none"/>
              </w:rPr>
              <w:t>The amount of interest paid by the buyer in terms of section 16, of the MSMED Act, 2006 along with the amounts of the payment made to the supplier beyond the appointed day during each accounting year</w:t>
            </w:r>
          </w:p>
        </w:tc>
        <w:tc>
          <w:tcPr>
            <w:tcW w:w="1400" w:type="dxa"/>
            <w:tcBorders>
              <w:top w:val="nil"/>
              <w:left w:val="nil"/>
              <w:bottom w:val="nil"/>
              <w:right w:val="single" w:sz="4" w:space="0" w:color="auto"/>
            </w:tcBorders>
            <w:shd w:val="clear" w:color="auto" w:fill="auto"/>
            <w:noWrap/>
            <w:vAlign w:val="bottom"/>
            <w:hideMark/>
          </w:tcPr>
          <w:p w14:paraId="55A01FD4"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AF1F688"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4F5BE000" w14:textId="77777777" w:rsidTr="007118D3">
        <w:trPr>
          <w:trHeight w:val="330"/>
        </w:trPr>
        <w:tc>
          <w:tcPr>
            <w:tcW w:w="640" w:type="dxa"/>
            <w:vMerge/>
            <w:tcBorders>
              <w:top w:val="nil"/>
              <w:left w:val="single" w:sz="4" w:space="0" w:color="auto"/>
              <w:bottom w:val="nil"/>
              <w:right w:val="nil"/>
            </w:tcBorders>
            <w:vAlign w:val="center"/>
            <w:hideMark/>
          </w:tcPr>
          <w:p w14:paraId="1ECCBACC"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nil"/>
              <w:right w:val="single" w:sz="4" w:space="0" w:color="000000"/>
            </w:tcBorders>
            <w:vAlign w:val="center"/>
            <w:hideMark/>
          </w:tcPr>
          <w:p w14:paraId="2F26F495"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0481D51E"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03D9A357"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4CF44D98" w14:textId="77777777" w:rsidTr="007118D3">
        <w:trPr>
          <w:trHeight w:val="330"/>
        </w:trPr>
        <w:tc>
          <w:tcPr>
            <w:tcW w:w="640" w:type="dxa"/>
            <w:vMerge/>
            <w:tcBorders>
              <w:top w:val="nil"/>
              <w:left w:val="single" w:sz="4" w:space="0" w:color="auto"/>
              <w:bottom w:val="nil"/>
              <w:right w:val="nil"/>
            </w:tcBorders>
            <w:vAlign w:val="center"/>
            <w:hideMark/>
          </w:tcPr>
          <w:p w14:paraId="12AD3DF7"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nil"/>
              <w:right w:val="single" w:sz="4" w:space="0" w:color="000000"/>
            </w:tcBorders>
            <w:vAlign w:val="center"/>
            <w:hideMark/>
          </w:tcPr>
          <w:p w14:paraId="1B2ED7AB"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6F1471AB"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E598FF3"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66CB22F3" w14:textId="77777777" w:rsidTr="007118D3">
        <w:trPr>
          <w:trHeight w:val="330"/>
        </w:trPr>
        <w:tc>
          <w:tcPr>
            <w:tcW w:w="640" w:type="dxa"/>
            <w:vMerge/>
            <w:tcBorders>
              <w:top w:val="nil"/>
              <w:left w:val="single" w:sz="4" w:space="0" w:color="auto"/>
              <w:bottom w:val="nil"/>
              <w:right w:val="nil"/>
            </w:tcBorders>
            <w:vAlign w:val="center"/>
            <w:hideMark/>
          </w:tcPr>
          <w:p w14:paraId="5351A4D9"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nil"/>
              <w:right w:val="single" w:sz="4" w:space="0" w:color="000000"/>
            </w:tcBorders>
            <w:vAlign w:val="center"/>
            <w:hideMark/>
          </w:tcPr>
          <w:p w14:paraId="7E2DF07F"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437025E8"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406B132B"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2CB085D1" w14:textId="77777777" w:rsidTr="007118D3">
        <w:trPr>
          <w:trHeight w:val="330"/>
        </w:trPr>
        <w:tc>
          <w:tcPr>
            <w:tcW w:w="640" w:type="dxa"/>
            <w:tcBorders>
              <w:top w:val="nil"/>
              <w:left w:val="single" w:sz="4" w:space="0" w:color="auto"/>
              <w:bottom w:val="nil"/>
              <w:right w:val="nil"/>
            </w:tcBorders>
            <w:shd w:val="clear" w:color="auto" w:fill="auto"/>
            <w:noWrap/>
            <w:vAlign w:val="bottom"/>
            <w:hideMark/>
          </w:tcPr>
          <w:p w14:paraId="1A08A550"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1857" w:type="dxa"/>
            <w:tcBorders>
              <w:top w:val="nil"/>
              <w:left w:val="single" w:sz="4" w:space="0" w:color="auto"/>
              <w:bottom w:val="nil"/>
              <w:right w:val="nil"/>
            </w:tcBorders>
            <w:shd w:val="clear" w:color="auto" w:fill="auto"/>
            <w:noWrap/>
            <w:vAlign w:val="bottom"/>
            <w:hideMark/>
          </w:tcPr>
          <w:p w14:paraId="58BAAA27" w14:textId="77777777" w:rsidR="007118D3" w:rsidRPr="007118D3" w:rsidRDefault="007118D3" w:rsidP="007118D3">
            <w:pPr>
              <w:spacing w:after="0" w:line="240" w:lineRule="auto"/>
              <w:jc w:val="both"/>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837" w:type="dxa"/>
            <w:tcBorders>
              <w:top w:val="nil"/>
              <w:left w:val="nil"/>
              <w:bottom w:val="nil"/>
              <w:right w:val="nil"/>
            </w:tcBorders>
            <w:shd w:val="clear" w:color="auto" w:fill="auto"/>
            <w:noWrap/>
            <w:vAlign w:val="bottom"/>
            <w:hideMark/>
          </w:tcPr>
          <w:p w14:paraId="0C1E8DF0" w14:textId="77777777" w:rsidR="007118D3" w:rsidRPr="007118D3" w:rsidRDefault="007118D3" w:rsidP="007118D3">
            <w:pPr>
              <w:spacing w:after="0" w:line="240" w:lineRule="auto"/>
              <w:jc w:val="both"/>
              <w:rPr>
                <w:rFonts w:ascii="Book Antiqua" w:eastAsia="Times New Roman" w:hAnsi="Book Antiqua" w:cs="Arial"/>
                <w:kern w:val="0"/>
                <w:sz w:val="20"/>
                <w:szCs w:val="20"/>
                <w:lang w:eastAsia="en-IN" w:bidi="ta-IN"/>
                <w14:ligatures w14:val="none"/>
              </w:rPr>
            </w:pPr>
          </w:p>
        </w:tc>
        <w:tc>
          <w:tcPr>
            <w:tcW w:w="837" w:type="dxa"/>
            <w:tcBorders>
              <w:top w:val="nil"/>
              <w:left w:val="nil"/>
              <w:bottom w:val="nil"/>
              <w:right w:val="nil"/>
            </w:tcBorders>
            <w:shd w:val="clear" w:color="auto" w:fill="auto"/>
            <w:noWrap/>
            <w:vAlign w:val="bottom"/>
            <w:hideMark/>
          </w:tcPr>
          <w:p w14:paraId="0B37D5A8" w14:textId="77777777" w:rsidR="007118D3" w:rsidRPr="007118D3" w:rsidRDefault="007118D3" w:rsidP="007118D3">
            <w:pPr>
              <w:spacing w:after="0" w:line="240" w:lineRule="auto"/>
              <w:jc w:val="both"/>
              <w:rPr>
                <w:rFonts w:ascii="Times New Roman" w:eastAsia="Times New Roman" w:hAnsi="Times New Roman" w:cs="Times New Roman"/>
                <w:kern w:val="0"/>
                <w:sz w:val="20"/>
                <w:szCs w:val="20"/>
                <w:lang w:eastAsia="en-IN" w:bidi="ta-IN"/>
                <w14:ligatures w14:val="none"/>
              </w:rPr>
            </w:pPr>
          </w:p>
        </w:tc>
        <w:tc>
          <w:tcPr>
            <w:tcW w:w="837" w:type="dxa"/>
            <w:tcBorders>
              <w:top w:val="nil"/>
              <w:left w:val="nil"/>
              <w:bottom w:val="nil"/>
              <w:right w:val="nil"/>
            </w:tcBorders>
            <w:shd w:val="clear" w:color="auto" w:fill="auto"/>
            <w:noWrap/>
            <w:vAlign w:val="bottom"/>
            <w:hideMark/>
          </w:tcPr>
          <w:p w14:paraId="780C3A9C" w14:textId="77777777" w:rsidR="007118D3" w:rsidRPr="007118D3" w:rsidRDefault="007118D3" w:rsidP="007118D3">
            <w:pPr>
              <w:spacing w:after="0" w:line="240" w:lineRule="auto"/>
              <w:rPr>
                <w:rFonts w:ascii="Times New Roman" w:eastAsia="Times New Roman" w:hAnsi="Times New Roman" w:cs="Times New Roman"/>
                <w:kern w:val="0"/>
                <w:sz w:val="20"/>
                <w:szCs w:val="20"/>
                <w:lang w:eastAsia="en-IN" w:bidi="ta-IN"/>
                <w14:ligatures w14:val="none"/>
              </w:rPr>
            </w:pPr>
          </w:p>
        </w:tc>
        <w:tc>
          <w:tcPr>
            <w:tcW w:w="1972" w:type="dxa"/>
            <w:tcBorders>
              <w:top w:val="nil"/>
              <w:left w:val="nil"/>
              <w:bottom w:val="nil"/>
              <w:right w:val="single" w:sz="4" w:space="0" w:color="auto"/>
            </w:tcBorders>
            <w:shd w:val="clear" w:color="auto" w:fill="auto"/>
            <w:noWrap/>
            <w:vAlign w:val="bottom"/>
            <w:hideMark/>
          </w:tcPr>
          <w:p w14:paraId="083175CD" w14:textId="77777777"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6C80E827"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2857003A"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3B03E513" w14:textId="77777777" w:rsidTr="007118D3">
        <w:trPr>
          <w:trHeight w:val="330"/>
        </w:trPr>
        <w:tc>
          <w:tcPr>
            <w:tcW w:w="640" w:type="dxa"/>
            <w:vMerge w:val="restart"/>
            <w:tcBorders>
              <w:top w:val="nil"/>
              <w:left w:val="single" w:sz="4" w:space="0" w:color="auto"/>
              <w:bottom w:val="nil"/>
              <w:right w:val="nil"/>
            </w:tcBorders>
            <w:shd w:val="clear" w:color="auto" w:fill="auto"/>
            <w:noWrap/>
            <w:vAlign w:val="center"/>
            <w:hideMark/>
          </w:tcPr>
          <w:p w14:paraId="0B0A671D" w14:textId="77777777" w:rsidR="007118D3" w:rsidRPr="007118D3" w:rsidRDefault="007118D3" w:rsidP="007118D3">
            <w:pPr>
              <w:spacing w:after="0" w:line="240" w:lineRule="auto"/>
              <w:jc w:val="center"/>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3</w:t>
            </w:r>
          </w:p>
        </w:tc>
        <w:tc>
          <w:tcPr>
            <w:tcW w:w="6340" w:type="dxa"/>
            <w:gridSpan w:val="5"/>
            <w:vMerge w:val="restart"/>
            <w:tcBorders>
              <w:top w:val="nil"/>
              <w:left w:val="single" w:sz="4" w:space="0" w:color="auto"/>
              <w:bottom w:val="nil"/>
              <w:right w:val="single" w:sz="4" w:space="0" w:color="000000"/>
            </w:tcBorders>
            <w:shd w:val="clear" w:color="auto" w:fill="auto"/>
            <w:vAlign w:val="center"/>
            <w:hideMark/>
          </w:tcPr>
          <w:p w14:paraId="29228240"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r w:rsidRPr="007118D3">
              <w:rPr>
                <w:rFonts w:ascii="Book Antiqua" w:eastAsia="Times New Roman" w:hAnsi="Book Antiqua" w:cs="Arial"/>
                <w:kern w:val="0"/>
                <w:sz w:val="22"/>
                <w:szCs w:val="22"/>
                <w:lang w:eastAsia="en-IN" w:bidi="ta-IN"/>
                <w14:ligatures w14:val="none"/>
              </w:rPr>
              <w:t>The amount of interest due and payable for the period of delay in making payment (which have been paid but beyond the appointed day during the year) but without adding the interest specified under MSMED Act.</w:t>
            </w:r>
          </w:p>
        </w:tc>
        <w:tc>
          <w:tcPr>
            <w:tcW w:w="1400" w:type="dxa"/>
            <w:tcBorders>
              <w:top w:val="nil"/>
              <w:left w:val="nil"/>
              <w:bottom w:val="nil"/>
              <w:right w:val="single" w:sz="4" w:space="0" w:color="auto"/>
            </w:tcBorders>
            <w:shd w:val="clear" w:color="auto" w:fill="auto"/>
            <w:noWrap/>
            <w:vAlign w:val="bottom"/>
            <w:hideMark/>
          </w:tcPr>
          <w:p w14:paraId="2BEBAC5D"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0B4040D5"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649BCAFC" w14:textId="77777777" w:rsidTr="007118D3">
        <w:trPr>
          <w:trHeight w:val="330"/>
        </w:trPr>
        <w:tc>
          <w:tcPr>
            <w:tcW w:w="640" w:type="dxa"/>
            <w:vMerge/>
            <w:tcBorders>
              <w:top w:val="nil"/>
              <w:left w:val="single" w:sz="4" w:space="0" w:color="auto"/>
              <w:bottom w:val="nil"/>
              <w:right w:val="nil"/>
            </w:tcBorders>
            <w:vAlign w:val="center"/>
            <w:hideMark/>
          </w:tcPr>
          <w:p w14:paraId="1F77DE80"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nil"/>
              <w:right w:val="single" w:sz="4" w:space="0" w:color="000000"/>
            </w:tcBorders>
            <w:vAlign w:val="center"/>
            <w:hideMark/>
          </w:tcPr>
          <w:p w14:paraId="549F8ABF"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079AAEB6"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542D301E"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52716F2B" w14:textId="77777777" w:rsidTr="007118D3">
        <w:trPr>
          <w:trHeight w:val="330"/>
        </w:trPr>
        <w:tc>
          <w:tcPr>
            <w:tcW w:w="640" w:type="dxa"/>
            <w:vMerge/>
            <w:tcBorders>
              <w:top w:val="nil"/>
              <w:left w:val="single" w:sz="4" w:space="0" w:color="auto"/>
              <w:bottom w:val="nil"/>
              <w:right w:val="nil"/>
            </w:tcBorders>
            <w:vAlign w:val="center"/>
            <w:hideMark/>
          </w:tcPr>
          <w:p w14:paraId="47C70874"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nil"/>
              <w:right w:val="single" w:sz="4" w:space="0" w:color="000000"/>
            </w:tcBorders>
            <w:vAlign w:val="center"/>
            <w:hideMark/>
          </w:tcPr>
          <w:p w14:paraId="399C1AFD"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34C43560"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66407911"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6350758A" w14:textId="77777777" w:rsidTr="007118D3">
        <w:trPr>
          <w:trHeight w:val="330"/>
        </w:trPr>
        <w:tc>
          <w:tcPr>
            <w:tcW w:w="640" w:type="dxa"/>
            <w:vMerge/>
            <w:tcBorders>
              <w:top w:val="nil"/>
              <w:left w:val="single" w:sz="4" w:space="0" w:color="auto"/>
              <w:bottom w:val="nil"/>
              <w:right w:val="nil"/>
            </w:tcBorders>
            <w:vAlign w:val="center"/>
            <w:hideMark/>
          </w:tcPr>
          <w:p w14:paraId="64C2B756"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nil"/>
              <w:right w:val="single" w:sz="4" w:space="0" w:color="000000"/>
            </w:tcBorders>
            <w:vAlign w:val="center"/>
            <w:hideMark/>
          </w:tcPr>
          <w:p w14:paraId="1D003B9B"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2CFB6939"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44008739"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49EC728C" w14:textId="77777777" w:rsidTr="007118D3">
        <w:trPr>
          <w:trHeight w:val="330"/>
        </w:trPr>
        <w:tc>
          <w:tcPr>
            <w:tcW w:w="640" w:type="dxa"/>
            <w:tcBorders>
              <w:top w:val="nil"/>
              <w:left w:val="single" w:sz="4" w:space="0" w:color="auto"/>
              <w:bottom w:val="nil"/>
              <w:right w:val="nil"/>
            </w:tcBorders>
            <w:shd w:val="clear" w:color="auto" w:fill="auto"/>
            <w:noWrap/>
            <w:vAlign w:val="bottom"/>
            <w:hideMark/>
          </w:tcPr>
          <w:p w14:paraId="20BA1530"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1857" w:type="dxa"/>
            <w:tcBorders>
              <w:top w:val="nil"/>
              <w:left w:val="single" w:sz="4" w:space="0" w:color="auto"/>
              <w:bottom w:val="nil"/>
              <w:right w:val="nil"/>
            </w:tcBorders>
            <w:shd w:val="clear" w:color="auto" w:fill="auto"/>
            <w:noWrap/>
            <w:vAlign w:val="bottom"/>
            <w:hideMark/>
          </w:tcPr>
          <w:p w14:paraId="1DCB950D"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837" w:type="dxa"/>
            <w:tcBorders>
              <w:top w:val="nil"/>
              <w:left w:val="nil"/>
              <w:bottom w:val="nil"/>
              <w:right w:val="nil"/>
            </w:tcBorders>
            <w:shd w:val="clear" w:color="auto" w:fill="auto"/>
            <w:noWrap/>
            <w:vAlign w:val="bottom"/>
            <w:hideMark/>
          </w:tcPr>
          <w:p w14:paraId="2621D98F"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837" w:type="dxa"/>
            <w:tcBorders>
              <w:top w:val="nil"/>
              <w:left w:val="nil"/>
              <w:bottom w:val="nil"/>
              <w:right w:val="nil"/>
            </w:tcBorders>
            <w:shd w:val="clear" w:color="auto" w:fill="auto"/>
            <w:noWrap/>
            <w:vAlign w:val="bottom"/>
            <w:hideMark/>
          </w:tcPr>
          <w:p w14:paraId="7BA40183" w14:textId="77777777" w:rsidR="007118D3" w:rsidRPr="007118D3" w:rsidRDefault="007118D3" w:rsidP="007118D3">
            <w:pPr>
              <w:spacing w:after="0" w:line="240" w:lineRule="auto"/>
              <w:rPr>
                <w:rFonts w:ascii="Times New Roman" w:eastAsia="Times New Roman" w:hAnsi="Times New Roman" w:cs="Times New Roman"/>
                <w:kern w:val="0"/>
                <w:sz w:val="20"/>
                <w:szCs w:val="20"/>
                <w:lang w:eastAsia="en-IN" w:bidi="ta-IN"/>
                <w14:ligatures w14:val="none"/>
              </w:rPr>
            </w:pPr>
          </w:p>
        </w:tc>
        <w:tc>
          <w:tcPr>
            <w:tcW w:w="837" w:type="dxa"/>
            <w:tcBorders>
              <w:top w:val="nil"/>
              <w:left w:val="nil"/>
              <w:bottom w:val="nil"/>
              <w:right w:val="nil"/>
            </w:tcBorders>
            <w:shd w:val="clear" w:color="auto" w:fill="auto"/>
            <w:noWrap/>
            <w:vAlign w:val="bottom"/>
            <w:hideMark/>
          </w:tcPr>
          <w:p w14:paraId="5DDAF221" w14:textId="77777777" w:rsidR="007118D3" w:rsidRPr="007118D3" w:rsidRDefault="007118D3" w:rsidP="007118D3">
            <w:pPr>
              <w:spacing w:after="0" w:line="240" w:lineRule="auto"/>
              <w:rPr>
                <w:rFonts w:ascii="Times New Roman" w:eastAsia="Times New Roman" w:hAnsi="Times New Roman" w:cs="Times New Roman"/>
                <w:kern w:val="0"/>
                <w:sz w:val="20"/>
                <w:szCs w:val="20"/>
                <w:lang w:eastAsia="en-IN" w:bidi="ta-IN"/>
                <w14:ligatures w14:val="none"/>
              </w:rPr>
            </w:pPr>
          </w:p>
        </w:tc>
        <w:tc>
          <w:tcPr>
            <w:tcW w:w="1972" w:type="dxa"/>
            <w:tcBorders>
              <w:top w:val="nil"/>
              <w:left w:val="nil"/>
              <w:bottom w:val="nil"/>
              <w:right w:val="single" w:sz="4" w:space="0" w:color="auto"/>
            </w:tcBorders>
            <w:shd w:val="clear" w:color="auto" w:fill="auto"/>
            <w:noWrap/>
            <w:vAlign w:val="bottom"/>
            <w:hideMark/>
          </w:tcPr>
          <w:p w14:paraId="3387B96D" w14:textId="77777777"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8E1517A"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6FFAF13"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1AF52F54" w14:textId="77777777" w:rsidTr="007118D3">
        <w:trPr>
          <w:trHeight w:val="330"/>
        </w:trPr>
        <w:tc>
          <w:tcPr>
            <w:tcW w:w="640" w:type="dxa"/>
            <w:vMerge w:val="restart"/>
            <w:tcBorders>
              <w:top w:val="nil"/>
              <w:left w:val="single" w:sz="4" w:space="0" w:color="auto"/>
              <w:bottom w:val="nil"/>
              <w:right w:val="nil"/>
            </w:tcBorders>
            <w:shd w:val="clear" w:color="auto" w:fill="auto"/>
            <w:noWrap/>
            <w:vAlign w:val="center"/>
            <w:hideMark/>
          </w:tcPr>
          <w:p w14:paraId="0EF34E70" w14:textId="77777777" w:rsidR="007118D3" w:rsidRPr="007118D3" w:rsidRDefault="007118D3" w:rsidP="007118D3">
            <w:pPr>
              <w:spacing w:after="0" w:line="240" w:lineRule="auto"/>
              <w:jc w:val="center"/>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4</w:t>
            </w:r>
          </w:p>
        </w:tc>
        <w:tc>
          <w:tcPr>
            <w:tcW w:w="6340" w:type="dxa"/>
            <w:gridSpan w:val="5"/>
            <w:vMerge w:val="restart"/>
            <w:tcBorders>
              <w:top w:val="nil"/>
              <w:left w:val="single" w:sz="4" w:space="0" w:color="auto"/>
              <w:bottom w:val="nil"/>
              <w:right w:val="single" w:sz="4" w:space="0" w:color="000000"/>
            </w:tcBorders>
            <w:shd w:val="clear" w:color="auto" w:fill="auto"/>
            <w:vAlign w:val="center"/>
            <w:hideMark/>
          </w:tcPr>
          <w:p w14:paraId="2714CF8B"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r w:rsidRPr="007118D3">
              <w:rPr>
                <w:rFonts w:ascii="Book Antiqua" w:eastAsia="Times New Roman" w:hAnsi="Book Antiqua" w:cs="Arial"/>
                <w:kern w:val="0"/>
                <w:sz w:val="22"/>
                <w:szCs w:val="22"/>
                <w:lang w:eastAsia="en-IN" w:bidi="ta-IN"/>
                <w14:ligatures w14:val="none"/>
              </w:rPr>
              <w:t>The amount of interest accrued and remaining unpaid at the end of each accounting year.</w:t>
            </w:r>
          </w:p>
        </w:tc>
        <w:tc>
          <w:tcPr>
            <w:tcW w:w="1400" w:type="dxa"/>
            <w:tcBorders>
              <w:top w:val="nil"/>
              <w:left w:val="nil"/>
              <w:bottom w:val="nil"/>
              <w:right w:val="single" w:sz="4" w:space="0" w:color="auto"/>
            </w:tcBorders>
            <w:shd w:val="clear" w:color="auto" w:fill="auto"/>
            <w:noWrap/>
            <w:vAlign w:val="bottom"/>
            <w:hideMark/>
          </w:tcPr>
          <w:p w14:paraId="646ACB74"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00C17AD"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6C00AD27" w14:textId="77777777" w:rsidTr="007118D3">
        <w:trPr>
          <w:trHeight w:val="330"/>
        </w:trPr>
        <w:tc>
          <w:tcPr>
            <w:tcW w:w="640" w:type="dxa"/>
            <w:vMerge/>
            <w:tcBorders>
              <w:top w:val="nil"/>
              <w:left w:val="single" w:sz="4" w:space="0" w:color="auto"/>
              <w:bottom w:val="nil"/>
              <w:right w:val="nil"/>
            </w:tcBorders>
            <w:vAlign w:val="center"/>
            <w:hideMark/>
          </w:tcPr>
          <w:p w14:paraId="4B255726"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nil"/>
              <w:right w:val="single" w:sz="4" w:space="0" w:color="000000"/>
            </w:tcBorders>
            <w:vAlign w:val="center"/>
            <w:hideMark/>
          </w:tcPr>
          <w:p w14:paraId="728D1808"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29DFD2D5"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0AA80CD3"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32FCFDB0" w14:textId="77777777" w:rsidTr="007118D3">
        <w:trPr>
          <w:trHeight w:val="330"/>
        </w:trPr>
        <w:tc>
          <w:tcPr>
            <w:tcW w:w="640" w:type="dxa"/>
            <w:tcBorders>
              <w:top w:val="nil"/>
              <w:left w:val="single" w:sz="4" w:space="0" w:color="auto"/>
              <w:bottom w:val="nil"/>
              <w:right w:val="nil"/>
            </w:tcBorders>
            <w:shd w:val="clear" w:color="auto" w:fill="auto"/>
            <w:noWrap/>
            <w:vAlign w:val="bottom"/>
            <w:hideMark/>
          </w:tcPr>
          <w:p w14:paraId="70FF9B57"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1857" w:type="dxa"/>
            <w:tcBorders>
              <w:top w:val="nil"/>
              <w:left w:val="single" w:sz="4" w:space="0" w:color="auto"/>
              <w:bottom w:val="nil"/>
              <w:right w:val="nil"/>
            </w:tcBorders>
            <w:shd w:val="clear" w:color="auto" w:fill="auto"/>
            <w:noWrap/>
            <w:vAlign w:val="bottom"/>
            <w:hideMark/>
          </w:tcPr>
          <w:p w14:paraId="18F74148"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 </w:t>
            </w:r>
          </w:p>
        </w:tc>
        <w:tc>
          <w:tcPr>
            <w:tcW w:w="837" w:type="dxa"/>
            <w:tcBorders>
              <w:top w:val="nil"/>
              <w:left w:val="nil"/>
              <w:bottom w:val="nil"/>
              <w:right w:val="nil"/>
            </w:tcBorders>
            <w:shd w:val="clear" w:color="auto" w:fill="auto"/>
            <w:noWrap/>
            <w:vAlign w:val="bottom"/>
            <w:hideMark/>
          </w:tcPr>
          <w:p w14:paraId="6090378D"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837" w:type="dxa"/>
            <w:tcBorders>
              <w:top w:val="nil"/>
              <w:left w:val="nil"/>
              <w:bottom w:val="nil"/>
              <w:right w:val="nil"/>
            </w:tcBorders>
            <w:shd w:val="clear" w:color="auto" w:fill="auto"/>
            <w:noWrap/>
            <w:vAlign w:val="bottom"/>
            <w:hideMark/>
          </w:tcPr>
          <w:p w14:paraId="17B0189B" w14:textId="77777777" w:rsidR="007118D3" w:rsidRPr="007118D3" w:rsidRDefault="007118D3" w:rsidP="007118D3">
            <w:pPr>
              <w:spacing w:after="0" w:line="240" w:lineRule="auto"/>
              <w:rPr>
                <w:rFonts w:ascii="Times New Roman" w:eastAsia="Times New Roman" w:hAnsi="Times New Roman" w:cs="Times New Roman"/>
                <w:kern w:val="0"/>
                <w:sz w:val="20"/>
                <w:szCs w:val="20"/>
                <w:lang w:eastAsia="en-IN" w:bidi="ta-IN"/>
                <w14:ligatures w14:val="none"/>
              </w:rPr>
            </w:pPr>
          </w:p>
        </w:tc>
        <w:tc>
          <w:tcPr>
            <w:tcW w:w="837" w:type="dxa"/>
            <w:tcBorders>
              <w:top w:val="nil"/>
              <w:left w:val="nil"/>
              <w:bottom w:val="nil"/>
              <w:right w:val="nil"/>
            </w:tcBorders>
            <w:shd w:val="clear" w:color="auto" w:fill="auto"/>
            <w:noWrap/>
            <w:vAlign w:val="bottom"/>
            <w:hideMark/>
          </w:tcPr>
          <w:p w14:paraId="59ACB9DD" w14:textId="77777777" w:rsidR="007118D3" w:rsidRPr="007118D3" w:rsidRDefault="007118D3" w:rsidP="007118D3">
            <w:pPr>
              <w:spacing w:after="0" w:line="240" w:lineRule="auto"/>
              <w:rPr>
                <w:rFonts w:ascii="Times New Roman" w:eastAsia="Times New Roman" w:hAnsi="Times New Roman" w:cs="Times New Roman"/>
                <w:kern w:val="0"/>
                <w:sz w:val="20"/>
                <w:szCs w:val="20"/>
                <w:lang w:eastAsia="en-IN" w:bidi="ta-IN"/>
                <w14:ligatures w14:val="none"/>
              </w:rPr>
            </w:pPr>
          </w:p>
        </w:tc>
        <w:tc>
          <w:tcPr>
            <w:tcW w:w="1972" w:type="dxa"/>
            <w:tcBorders>
              <w:top w:val="nil"/>
              <w:left w:val="nil"/>
              <w:bottom w:val="nil"/>
              <w:right w:val="single" w:sz="4" w:space="0" w:color="auto"/>
            </w:tcBorders>
            <w:shd w:val="clear" w:color="auto" w:fill="auto"/>
            <w:noWrap/>
            <w:vAlign w:val="bottom"/>
            <w:hideMark/>
          </w:tcPr>
          <w:p w14:paraId="52633F08" w14:textId="77777777" w:rsidR="007118D3" w:rsidRPr="007118D3" w:rsidRDefault="007118D3" w:rsidP="007118D3">
            <w:pPr>
              <w:spacing w:after="0" w:line="240" w:lineRule="auto"/>
              <w:jc w:val="center"/>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4475F763"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CA076DD"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41F88699" w14:textId="77777777" w:rsidTr="007118D3">
        <w:trPr>
          <w:trHeight w:val="330"/>
        </w:trPr>
        <w:tc>
          <w:tcPr>
            <w:tcW w:w="640" w:type="dxa"/>
            <w:vMerge w:val="restart"/>
            <w:tcBorders>
              <w:top w:val="nil"/>
              <w:left w:val="single" w:sz="4" w:space="0" w:color="auto"/>
              <w:bottom w:val="single" w:sz="4" w:space="0" w:color="000000"/>
              <w:right w:val="nil"/>
            </w:tcBorders>
            <w:shd w:val="clear" w:color="auto" w:fill="auto"/>
            <w:noWrap/>
            <w:vAlign w:val="center"/>
            <w:hideMark/>
          </w:tcPr>
          <w:p w14:paraId="2E9D1717" w14:textId="77777777" w:rsidR="007118D3" w:rsidRPr="007118D3" w:rsidRDefault="007118D3" w:rsidP="007118D3">
            <w:pPr>
              <w:spacing w:after="0" w:line="240" w:lineRule="auto"/>
              <w:jc w:val="center"/>
              <w:rPr>
                <w:rFonts w:ascii="Book Antiqua" w:eastAsia="Times New Roman" w:hAnsi="Book Antiqua" w:cs="Arial"/>
                <w:kern w:val="0"/>
                <w:sz w:val="20"/>
                <w:szCs w:val="20"/>
                <w:lang w:eastAsia="en-IN" w:bidi="ta-IN"/>
                <w14:ligatures w14:val="none"/>
              </w:rPr>
            </w:pPr>
            <w:r w:rsidRPr="007118D3">
              <w:rPr>
                <w:rFonts w:ascii="Book Antiqua" w:eastAsia="Times New Roman" w:hAnsi="Book Antiqua" w:cs="Arial"/>
                <w:kern w:val="0"/>
                <w:sz w:val="20"/>
                <w:szCs w:val="20"/>
                <w:lang w:eastAsia="en-IN" w:bidi="ta-IN"/>
                <w14:ligatures w14:val="none"/>
              </w:rPr>
              <w:t>5</w:t>
            </w:r>
          </w:p>
        </w:tc>
        <w:tc>
          <w:tcPr>
            <w:tcW w:w="6340" w:type="dxa"/>
            <w:gridSpan w:val="5"/>
            <w:vMerge w:val="restart"/>
            <w:tcBorders>
              <w:top w:val="nil"/>
              <w:left w:val="single" w:sz="4" w:space="0" w:color="auto"/>
              <w:bottom w:val="single" w:sz="4" w:space="0" w:color="000000"/>
              <w:right w:val="single" w:sz="4" w:space="0" w:color="000000"/>
            </w:tcBorders>
            <w:shd w:val="clear" w:color="auto" w:fill="auto"/>
            <w:vAlign w:val="center"/>
            <w:hideMark/>
          </w:tcPr>
          <w:p w14:paraId="5B8B9223"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r w:rsidRPr="007118D3">
              <w:rPr>
                <w:rFonts w:ascii="Book Antiqua" w:eastAsia="Times New Roman" w:hAnsi="Book Antiqua" w:cs="Arial"/>
                <w:kern w:val="0"/>
                <w:sz w:val="22"/>
                <w:szCs w:val="22"/>
                <w:lang w:eastAsia="en-IN" w:bidi="ta-IN"/>
                <w14:ligatures w14:val="none"/>
              </w:rPr>
              <w:t>The amount of further interest remaining due and payable even in the succeeding years, until such date when the interest dues as above are actually paid to the small enterprise for the purpose of disallowance as a deductible expenditure under section 23 of the MSMED Act, 2006</w:t>
            </w:r>
          </w:p>
        </w:tc>
        <w:tc>
          <w:tcPr>
            <w:tcW w:w="1400" w:type="dxa"/>
            <w:tcBorders>
              <w:top w:val="nil"/>
              <w:left w:val="nil"/>
              <w:bottom w:val="nil"/>
              <w:right w:val="single" w:sz="4" w:space="0" w:color="auto"/>
            </w:tcBorders>
            <w:shd w:val="clear" w:color="auto" w:fill="auto"/>
            <w:noWrap/>
            <w:vAlign w:val="bottom"/>
            <w:hideMark/>
          </w:tcPr>
          <w:p w14:paraId="14723F2E"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DEE81DA"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298888D5" w14:textId="77777777" w:rsidTr="007118D3">
        <w:trPr>
          <w:trHeight w:val="330"/>
        </w:trPr>
        <w:tc>
          <w:tcPr>
            <w:tcW w:w="640" w:type="dxa"/>
            <w:vMerge/>
            <w:tcBorders>
              <w:top w:val="nil"/>
              <w:left w:val="single" w:sz="4" w:space="0" w:color="auto"/>
              <w:bottom w:val="single" w:sz="4" w:space="0" w:color="000000"/>
              <w:right w:val="nil"/>
            </w:tcBorders>
            <w:vAlign w:val="center"/>
            <w:hideMark/>
          </w:tcPr>
          <w:p w14:paraId="765085E7"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single" w:sz="4" w:space="0" w:color="000000"/>
              <w:right w:val="single" w:sz="4" w:space="0" w:color="000000"/>
            </w:tcBorders>
            <w:vAlign w:val="center"/>
            <w:hideMark/>
          </w:tcPr>
          <w:p w14:paraId="0A2DE575"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1DC87AC5"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2F1A9310"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371026AF" w14:textId="77777777" w:rsidTr="007118D3">
        <w:trPr>
          <w:trHeight w:val="330"/>
        </w:trPr>
        <w:tc>
          <w:tcPr>
            <w:tcW w:w="640" w:type="dxa"/>
            <w:vMerge/>
            <w:tcBorders>
              <w:top w:val="nil"/>
              <w:left w:val="single" w:sz="4" w:space="0" w:color="auto"/>
              <w:bottom w:val="single" w:sz="4" w:space="0" w:color="000000"/>
              <w:right w:val="nil"/>
            </w:tcBorders>
            <w:vAlign w:val="center"/>
            <w:hideMark/>
          </w:tcPr>
          <w:p w14:paraId="75F619CF"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single" w:sz="4" w:space="0" w:color="000000"/>
              <w:right w:val="single" w:sz="4" w:space="0" w:color="000000"/>
            </w:tcBorders>
            <w:vAlign w:val="center"/>
            <w:hideMark/>
          </w:tcPr>
          <w:p w14:paraId="7D491082"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770B443C"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06459920"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0E764617" w14:textId="77777777" w:rsidTr="007118D3">
        <w:trPr>
          <w:trHeight w:val="330"/>
        </w:trPr>
        <w:tc>
          <w:tcPr>
            <w:tcW w:w="640" w:type="dxa"/>
            <w:vMerge/>
            <w:tcBorders>
              <w:top w:val="nil"/>
              <w:left w:val="single" w:sz="4" w:space="0" w:color="auto"/>
              <w:bottom w:val="single" w:sz="4" w:space="0" w:color="000000"/>
              <w:right w:val="nil"/>
            </w:tcBorders>
            <w:vAlign w:val="center"/>
            <w:hideMark/>
          </w:tcPr>
          <w:p w14:paraId="01A8DB0C"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single" w:sz="4" w:space="0" w:color="000000"/>
              <w:right w:val="single" w:sz="4" w:space="0" w:color="000000"/>
            </w:tcBorders>
            <w:vAlign w:val="center"/>
            <w:hideMark/>
          </w:tcPr>
          <w:p w14:paraId="45E81C2C"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nil"/>
              <w:right w:val="single" w:sz="4" w:space="0" w:color="auto"/>
            </w:tcBorders>
            <w:shd w:val="clear" w:color="auto" w:fill="auto"/>
            <w:noWrap/>
            <w:vAlign w:val="bottom"/>
            <w:hideMark/>
          </w:tcPr>
          <w:p w14:paraId="748DA264"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nil"/>
              <w:right w:val="single" w:sz="4" w:space="0" w:color="auto"/>
            </w:tcBorders>
            <w:shd w:val="clear" w:color="auto" w:fill="auto"/>
            <w:noWrap/>
            <w:vAlign w:val="bottom"/>
            <w:hideMark/>
          </w:tcPr>
          <w:p w14:paraId="789BDCE5"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r w:rsidR="007118D3" w:rsidRPr="007118D3" w14:paraId="4A862006" w14:textId="77777777" w:rsidTr="007118D3">
        <w:trPr>
          <w:trHeight w:val="330"/>
        </w:trPr>
        <w:tc>
          <w:tcPr>
            <w:tcW w:w="640" w:type="dxa"/>
            <w:vMerge/>
            <w:tcBorders>
              <w:top w:val="nil"/>
              <w:left w:val="single" w:sz="4" w:space="0" w:color="auto"/>
              <w:bottom w:val="single" w:sz="4" w:space="0" w:color="000000"/>
              <w:right w:val="nil"/>
            </w:tcBorders>
            <w:vAlign w:val="center"/>
            <w:hideMark/>
          </w:tcPr>
          <w:p w14:paraId="6A6B8E6F" w14:textId="77777777" w:rsidR="007118D3" w:rsidRPr="007118D3" w:rsidRDefault="007118D3" w:rsidP="007118D3">
            <w:pPr>
              <w:spacing w:after="0" w:line="240" w:lineRule="auto"/>
              <w:rPr>
                <w:rFonts w:ascii="Book Antiqua" w:eastAsia="Times New Roman" w:hAnsi="Book Antiqua" w:cs="Arial"/>
                <w:kern w:val="0"/>
                <w:sz w:val="20"/>
                <w:szCs w:val="20"/>
                <w:lang w:eastAsia="en-IN" w:bidi="ta-IN"/>
                <w14:ligatures w14:val="none"/>
              </w:rPr>
            </w:pPr>
          </w:p>
        </w:tc>
        <w:tc>
          <w:tcPr>
            <w:tcW w:w="6340" w:type="dxa"/>
            <w:gridSpan w:val="5"/>
            <w:vMerge/>
            <w:tcBorders>
              <w:top w:val="nil"/>
              <w:left w:val="single" w:sz="4" w:space="0" w:color="auto"/>
              <w:bottom w:val="single" w:sz="4" w:space="0" w:color="000000"/>
              <w:right w:val="single" w:sz="4" w:space="0" w:color="000000"/>
            </w:tcBorders>
            <w:vAlign w:val="center"/>
            <w:hideMark/>
          </w:tcPr>
          <w:p w14:paraId="3B442D5D" w14:textId="77777777" w:rsidR="007118D3" w:rsidRPr="007118D3" w:rsidRDefault="007118D3" w:rsidP="007118D3">
            <w:pPr>
              <w:spacing w:after="0" w:line="240" w:lineRule="auto"/>
              <w:rPr>
                <w:rFonts w:ascii="Book Antiqua" w:eastAsia="Times New Roman" w:hAnsi="Book Antiqua" w:cs="Arial"/>
                <w:kern w:val="0"/>
                <w:sz w:val="22"/>
                <w:szCs w:val="22"/>
                <w:lang w:eastAsia="en-IN" w:bidi="ta-IN"/>
                <w14:ligatures w14:val="none"/>
              </w:rPr>
            </w:pPr>
          </w:p>
        </w:tc>
        <w:tc>
          <w:tcPr>
            <w:tcW w:w="1400" w:type="dxa"/>
            <w:tcBorders>
              <w:top w:val="nil"/>
              <w:left w:val="nil"/>
              <w:bottom w:val="single" w:sz="4" w:space="0" w:color="auto"/>
              <w:right w:val="single" w:sz="4" w:space="0" w:color="auto"/>
            </w:tcBorders>
            <w:shd w:val="clear" w:color="auto" w:fill="auto"/>
            <w:noWrap/>
            <w:vAlign w:val="bottom"/>
            <w:hideMark/>
          </w:tcPr>
          <w:p w14:paraId="418D17FC"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c>
          <w:tcPr>
            <w:tcW w:w="1400" w:type="dxa"/>
            <w:tcBorders>
              <w:top w:val="nil"/>
              <w:left w:val="nil"/>
              <w:bottom w:val="single" w:sz="4" w:space="0" w:color="auto"/>
              <w:right w:val="single" w:sz="4" w:space="0" w:color="auto"/>
            </w:tcBorders>
            <w:shd w:val="clear" w:color="auto" w:fill="auto"/>
            <w:noWrap/>
            <w:vAlign w:val="bottom"/>
            <w:hideMark/>
          </w:tcPr>
          <w:p w14:paraId="5CDDF829" w14:textId="77777777" w:rsidR="007118D3" w:rsidRPr="007118D3" w:rsidRDefault="007118D3" w:rsidP="007118D3">
            <w:pPr>
              <w:spacing w:after="0" w:line="240" w:lineRule="auto"/>
              <w:rPr>
                <w:rFonts w:ascii="Book Antiqua" w:eastAsia="Times New Roman" w:hAnsi="Book Antiqua" w:cs="Arial"/>
                <w:b/>
                <w:bCs/>
                <w:kern w:val="0"/>
                <w:sz w:val="22"/>
                <w:szCs w:val="22"/>
                <w:lang w:eastAsia="en-IN" w:bidi="ta-IN"/>
                <w14:ligatures w14:val="none"/>
              </w:rPr>
            </w:pPr>
            <w:r w:rsidRPr="007118D3">
              <w:rPr>
                <w:rFonts w:ascii="Book Antiqua" w:eastAsia="Times New Roman" w:hAnsi="Book Antiqua" w:cs="Arial"/>
                <w:b/>
                <w:bCs/>
                <w:kern w:val="0"/>
                <w:sz w:val="22"/>
                <w:szCs w:val="22"/>
                <w:lang w:eastAsia="en-IN" w:bidi="ta-IN"/>
                <w14:ligatures w14:val="none"/>
              </w:rPr>
              <w:t> </w:t>
            </w:r>
          </w:p>
        </w:tc>
      </w:tr>
    </w:tbl>
    <w:p w14:paraId="5F70357B" w14:textId="77777777" w:rsidR="007118D3" w:rsidRPr="00DE7B24" w:rsidRDefault="007118D3" w:rsidP="00DE7B24">
      <w:pPr>
        <w:pStyle w:val="ListParagraph"/>
        <w:jc w:val="both"/>
        <w:rPr>
          <w:rFonts w:ascii="Book Antiqua" w:hAnsi="Book Antiqua" w:cs="Poppins"/>
          <w:sz w:val="22"/>
          <w:szCs w:val="22"/>
          <w:shd w:val="clear" w:color="auto" w:fill="FFFFFF"/>
        </w:rPr>
      </w:pPr>
    </w:p>
    <w:p w14:paraId="53BF601E" w14:textId="22945E44" w:rsidR="00DE7B24" w:rsidRPr="00DE7B24" w:rsidRDefault="00BC5EDB" w:rsidP="00DE7B24">
      <w:pPr>
        <w:pStyle w:val="ListParagraph"/>
        <w:numPr>
          <w:ilvl w:val="1"/>
          <w:numId w:val="2"/>
        </w:numPr>
        <w:jc w:val="both"/>
        <w:rPr>
          <w:rFonts w:ascii="Book Antiqua" w:hAnsi="Book Antiqua" w:cs="Poppins"/>
          <w:b/>
          <w:bCs/>
          <w:sz w:val="22"/>
          <w:szCs w:val="22"/>
          <w:shd w:val="clear" w:color="auto" w:fill="FFFFFF"/>
        </w:rPr>
      </w:pPr>
      <w:r w:rsidRPr="00DE7B24">
        <w:rPr>
          <w:rFonts w:ascii="Book Antiqua" w:hAnsi="Book Antiqua" w:cs="Poppins"/>
          <w:b/>
          <w:bCs/>
          <w:sz w:val="22"/>
          <w:szCs w:val="22"/>
          <w:shd w:val="clear" w:color="auto" w:fill="FFFFFF"/>
        </w:rPr>
        <w:t xml:space="preserve">Loans and Advances </w:t>
      </w:r>
    </w:p>
    <w:p w14:paraId="6FD750DD" w14:textId="77777777" w:rsidR="00DE7B24" w:rsidRPr="00DE7B24" w:rsidRDefault="00DE7B24" w:rsidP="00DE7B24">
      <w:pPr>
        <w:pStyle w:val="ListParagraph"/>
        <w:jc w:val="both"/>
        <w:rPr>
          <w:rFonts w:ascii="Book Antiqua" w:hAnsi="Book Antiqua" w:cs="Poppins"/>
          <w:sz w:val="22"/>
          <w:szCs w:val="22"/>
          <w:shd w:val="clear" w:color="auto" w:fill="FFFFFF"/>
        </w:rPr>
      </w:pPr>
    </w:p>
    <w:p w14:paraId="386DAAD9" w14:textId="77777777" w:rsidR="00DE7B24" w:rsidRDefault="00BC5EDB" w:rsidP="00DE7B24">
      <w:pPr>
        <w:pStyle w:val="ListParagraph"/>
        <w:jc w:val="both"/>
        <w:rPr>
          <w:rFonts w:ascii="Book Antiqua" w:hAnsi="Book Antiqua" w:cs="Poppins"/>
          <w:sz w:val="22"/>
          <w:szCs w:val="22"/>
          <w:shd w:val="clear" w:color="auto" w:fill="FFFFFF"/>
        </w:rPr>
      </w:pPr>
      <w:r w:rsidRPr="00DE7B24">
        <w:rPr>
          <w:rFonts w:ascii="Book Antiqua" w:hAnsi="Book Antiqua" w:cs="Poppins"/>
          <w:sz w:val="22"/>
          <w:szCs w:val="22"/>
          <w:shd w:val="clear" w:color="auto" w:fill="FFFFFF"/>
        </w:rPr>
        <w:t xml:space="preserve">Loans and advances are unsecured and considered good, recoverable in the ordinary course of business. No interest is charged on such advances. </w:t>
      </w:r>
    </w:p>
    <w:p w14:paraId="38CEC37F" w14:textId="77777777" w:rsidR="00041C83" w:rsidRPr="00DE7B24" w:rsidRDefault="00041C83" w:rsidP="00DE7B24">
      <w:pPr>
        <w:pStyle w:val="ListParagraph"/>
        <w:jc w:val="both"/>
        <w:rPr>
          <w:rFonts w:ascii="Book Antiqua" w:hAnsi="Book Antiqua" w:cs="Poppins"/>
          <w:sz w:val="22"/>
          <w:szCs w:val="22"/>
          <w:shd w:val="clear" w:color="auto" w:fill="FFFFFF"/>
        </w:rPr>
      </w:pPr>
    </w:p>
    <w:p w14:paraId="032879E1" w14:textId="26249F83" w:rsidR="007118D3" w:rsidRPr="007118D3" w:rsidRDefault="007157DD" w:rsidP="00331A61">
      <w:pPr>
        <w:pStyle w:val="ListParagraph"/>
        <w:numPr>
          <w:ilvl w:val="1"/>
          <w:numId w:val="2"/>
        </w:numPr>
        <w:jc w:val="both"/>
        <w:rPr>
          <w:rFonts w:ascii="Book Antiqua" w:hAnsi="Book Antiqua"/>
          <w:sz w:val="28"/>
          <w:szCs w:val="28"/>
        </w:rPr>
      </w:pPr>
      <w:r>
        <w:rPr>
          <w:rFonts w:ascii="Book Antiqua" w:hAnsi="Book Antiqua" w:cs="Poppins"/>
          <w:b/>
          <w:bCs/>
          <w:sz w:val="22"/>
          <w:szCs w:val="22"/>
          <w:shd w:val="clear" w:color="auto" w:fill="FFFFFF"/>
        </w:rPr>
        <w:t>Regrouping and Reclassification</w:t>
      </w:r>
      <w:r w:rsidR="00BC5EDB" w:rsidRPr="007118D3">
        <w:rPr>
          <w:rFonts w:ascii="Book Antiqua" w:hAnsi="Book Antiqua" w:cs="Poppins"/>
          <w:b/>
          <w:bCs/>
          <w:sz w:val="22"/>
          <w:szCs w:val="22"/>
          <w:shd w:val="clear" w:color="auto" w:fill="FFFFFF"/>
        </w:rPr>
        <w:t xml:space="preserve"> </w:t>
      </w:r>
    </w:p>
    <w:p w14:paraId="2115CE9D" w14:textId="77777777" w:rsidR="007118D3" w:rsidRDefault="007118D3" w:rsidP="007118D3">
      <w:pPr>
        <w:pStyle w:val="ListParagraph"/>
        <w:jc w:val="both"/>
        <w:rPr>
          <w:rFonts w:ascii="Book Antiqua" w:hAnsi="Book Antiqua" w:cs="Poppins"/>
          <w:sz w:val="22"/>
          <w:szCs w:val="22"/>
          <w:shd w:val="clear" w:color="auto" w:fill="FFFFFF"/>
        </w:rPr>
      </w:pPr>
    </w:p>
    <w:p w14:paraId="46C43FE3" w14:textId="77777777" w:rsidR="007118D3" w:rsidRDefault="00BC5EDB" w:rsidP="007118D3">
      <w:pPr>
        <w:pStyle w:val="ListParagraph"/>
        <w:jc w:val="both"/>
        <w:rPr>
          <w:rFonts w:ascii="Book Antiqua" w:hAnsi="Book Antiqua" w:cs="Poppins"/>
          <w:sz w:val="22"/>
          <w:szCs w:val="22"/>
          <w:shd w:val="clear" w:color="auto" w:fill="FFFFFF"/>
        </w:rPr>
      </w:pPr>
      <w:r w:rsidRPr="007118D3">
        <w:rPr>
          <w:rFonts w:ascii="Book Antiqua" w:hAnsi="Book Antiqua" w:cs="Poppins"/>
          <w:sz w:val="22"/>
          <w:szCs w:val="22"/>
          <w:shd w:val="clear" w:color="auto" w:fill="FFFFFF"/>
        </w:rPr>
        <w:t>Being the first year of compliance with ICAI’s Guidance Note, the comparative figures of the previous year have been regrouped or reclassified wherever required.</w:t>
      </w:r>
    </w:p>
    <w:p w14:paraId="7F5DAD44" w14:textId="37335157" w:rsidR="007118D3" w:rsidRPr="007118D3" w:rsidRDefault="00BC5EDB" w:rsidP="007118D3">
      <w:pPr>
        <w:pStyle w:val="ListParagraph"/>
        <w:jc w:val="both"/>
        <w:rPr>
          <w:rFonts w:ascii="Book Antiqua" w:hAnsi="Book Antiqua"/>
          <w:sz w:val="28"/>
          <w:szCs w:val="28"/>
        </w:rPr>
      </w:pPr>
      <w:r w:rsidRPr="007118D3">
        <w:rPr>
          <w:rFonts w:ascii="Book Antiqua" w:hAnsi="Book Antiqua" w:cs="Poppins"/>
          <w:sz w:val="22"/>
          <w:szCs w:val="22"/>
          <w:shd w:val="clear" w:color="auto" w:fill="FFFFFF"/>
        </w:rPr>
        <w:t xml:space="preserve"> </w:t>
      </w:r>
    </w:p>
    <w:p w14:paraId="7C1B793C" w14:textId="338DC700" w:rsidR="00CD2FE8" w:rsidRPr="007118D3" w:rsidRDefault="00DE7B24" w:rsidP="00331A61">
      <w:pPr>
        <w:pStyle w:val="ListParagraph"/>
        <w:numPr>
          <w:ilvl w:val="1"/>
          <w:numId w:val="2"/>
        </w:numPr>
        <w:jc w:val="both"/>
        <w:rPr>
          <w:rFonts w:ascii="Book Antiqua" w:hAnsi="Book Antiqua"/>
          <w:sz w:val="28"/>
          <w:szCs w:val="28"/>
        </w:rPr>
      </w:pPr>
      <w:r w:rsidRPr="007118D3">
        <w:rPr>
          <w:rFonts w:ascii="Book Antiqua" w:hAnsi="Book Antiqua" w:cs="Poppins"/>
          <w:sz w:val="22"/>
          <w:szCs w:val="22"/>
          <w:shd w:val="clear" w:color="auto" w:fill="FFFFFF"/>
        </w:rPr>
        <w:t xml:space="preserve">These </w:t>
      </w:r>
      <w:r w:rsidR="00BC5EDB" w:rsidRPr="007118D3">
        <w:rPr>
          <w:rFonts w:ascii="Book Antiqua" w:hAnsi="Book Antiqua" w:cs="Poppins"/>
          <w:sz w:val="22"/>
          <w:szCs w:val="22"/>
          <w:shd w:val="clear" w:color="auto" w:fill="FFFFFF"/>
        </w:rPr>
        <w:t>significant accounting policies adopted by the entity</w:t>
      </w:r>
      <w:r w:rsidR="00041C83">
        <w:rPr>
          <w:rFonts w:ascii="Book Antiqua" w:hAnsi="Book Antiqua" w:cs="Poppins"/>
          <w:sz w:val="22"/>
          <w:szCs w:val="22"/>
          <w:shd w:val="clear" w:color="auto" w:fill="FFFFFF"/>
        </w:rPr>
        <w:t xml:space="preserve"> and the disclosures</w:t>
      </w:r>
      <w:r w:rsidR="00BC5EDB" w:rsidRPr="007118D3">
        <w:rPr>
          <w:rFonts w:ascii="Book Antiqua" w:hAnsi="Book Antiqua" w:cs="Poppins"/>
          <w:sz w:val="22"/>
          <w:szCs w:val="22"/>
          <w:shd w:val="clear" w:color="auto" w:fill="FFFFFF"/>
        </w:rPr>
        <w:t xml:space="preserve"> form an integral part of these financial statement</w:t>
      </w:r>
      <w:r w:rsidRPr="007118D3">
        <w:rPr>
          <w:rFonts w:ascii="Book Antiqua" w:hAnsi="Book Antiqua" w:cs="Poppins"/>
          <w:sz w:val="22"/>
          <w:szCs w:val="22"/>
          <w:shd w:val="clear" w:color="auto" w:fill="FFFFFF"/>
        </w:rPr>
        <w:t>s</w:t>
      </w:r>
      <w:r w:rsidR="00BC5EDB" w:rsidRPr="007118D3">
        <w:rPr>
          <w:rFonts w:ascii="Book Antiqua" w:hAnsi="Book Antiqua" w:cs="Poppins"/>
          <w:sz w:val="22"/>
          <w:szCs w:val="22"/>
          <w:shd w:val="clear" w:color="auto" w:fill="FFFFFF"/>
        </w:rPr>
        <w:t>.</w:t>
      </w:r>
    </w:p>
    <w:sectPr w:rsidR="00CD2FE8" w:rsidRPr="00711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4A6"/>
    <w:multiLevelType w:val="multilevel"/>
    <w:tmpl w:val="513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15F6"/>
    <w:multiLevelType w:val="hybridMultilevel"/>
    <w:tmpl w:val="5718B46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0CD42F0"/>
    <w:multiLevelType w:val="multilevel"/>
    <w:tmpl w:val="8002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76F7C"/>
    <w:multiLevelType w:val="hybridMultilevel"/>
    <w:tmpl w:val="D1DC7692"/>
    <w:lvl w:ilvl="0" w:tplc="16EEF858">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22B945D3"/>
    <w:multiLevelType w:val="hybridMultilevel"/>
    <w:tmpl w:val="6024B542"/>
    <w:lvl w:ilvl="0" w:tplc="97D2BA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3F8005B"/>
    <w:multiLevelType w:val="multilevel"/>
    <w:tmpl w:val="C830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A4845"/>
    <w:multiLevelType w:val="multilevel"/>
    <w:tmpl w:val="8A2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264C8"/>
    <w:multiLevelType w:val="multilevel"/>
    <w:tmpl w:val="E8FA679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34E6712"/>
    <w:multiLevelType w:val="multilevel"/>
    <w:tmpl w:val="CC46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35DBC"/>
    <w:multiLevelType w:val="multilevel"/>
    <w:tmpl w:val="70E6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E3C6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237695"/>
    <w:multiLevelType w:val="multilevel"/>
    <w:tmpl w:val="2C68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04472">
    <w:abstractNumId w:val="10"/>
  </w:num>
  <w:num w:numId="2" w16cid:durableId="998657980">
    <w:abstractNumId w:val="7"/>
  </w:num>
  <w:num w:numId="3" w16cid:durableId="741440546">
    <w:abstractNumId w:val="9"/>
  </w:num>
  <w:num w:numId="4" w16cid:durableId="1564411852">
    <w:abstractNumId w:val="4"/>
  </w:num>
  <w:num w:numId="5" w16cid:durableId="602690364">
    <w:abstractNumId w:val="5"/>
  </w:num>
  <w:num w:numId="6" w16cid:durableId="2012676976">
    <w:abstractNumId w:val="11"/>
  </w:num>
  <w:num w:numId="7" w16cid:durableId="86659455">
    <w:abstractNumId w:val="8"/>
  </w:num>
  <w:num w:numId="8" w16cid:durableId="869101274">
    <w:abstractNumId w:val="6"/>
  </w:num>
  <w:num w:numId="9" w16cid:durableId="1349331070">
    <w:abstractNumId w:val="2"/>
  </w:num>
  <w:num w:numId="10" w16cid:durableId="753471478">
    <w:abstractNumId w:val="3"/>
  </w:num>
  <w:num w:numId="11" w16cid:durableId="1123384413">
    <w:abstractNumId w:val="0"/>
  </w:num>
  <w:num w:numId="12" w16cid:durableId="1472407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DB"/>
    <w:rsid w:val="0001673B"/>
    <w:rsid w:val="0002047D"/>
    <w:rsid w:val="00041C83"/>
    <w:rsid w:val="00150B88"/>
    <w:rsid w:val="0015709B"/>
    <w:rsid w:val="001A7C4D"/>
    <w:rsid w:val="001C5966"/>
    <w:rsid w:val="00204711"/>
    <w:rsid w:val="002A7CBA"/>
    <w:rsid w:val="002F4BD2"/>
    <w:rsid w:val="00320652"/>
    <w:rsid w:val="0034551F"/>
    <w:rsid w:val="00405D9F"/>
    <w:rsid w:val="00416BCB"/>
    <w:rsid w:val="00490113"/>
    <w:rsid w:val="004B3FFA"/>
    <w:rsid w:val="005028E6"/>
    <w:rsid w:val="00537268"/>
    <w:rsid w:val="00577C3A"/>
    <w:rsid w:val="005957DB"/>
    <w:rsid w:val="005C4E8E"/>
    <w:rsid w:val="0063113A"/>
    <w:rsid w:val="007118D3"/>
    <w:rsid w:val="007157DD"/>
    <w:rsid w:val="00724B5F"/>
    <w:rsid w:val="00775055"/>
    <w:rsid w:val="008B4C5F"/>
    <w:rsid w:val="008D25DB"/>
    <w:rsid w:val="009764AA"/>
    <w:rsid w:val="00A038ED"/>
    <w:rsid w:val="00A51E17"/>
    <w:rsid w:val="00A5606B"/>
    <w:rsid w:val="00A623D1"/>
    <w:rsid w:val="00AD768B"/>
    <w:rsid w:val="00BC5EDB"/>
    <w:rsid w:val="00C1504C"/>
    <w:rsid w:val="00C645D1"/>
    <w:rsid w:val="00CD2FE8"/>
    <w:rsid w:val="00CF64AB"/>
    <w:rsid w:val="00D00366"/>
    <w:rsid w:val="00DC2E81"/>
    <w:rsid w:val="00DD4830"/>
    <w:rsid w:val="00DE7B24"/>
    <w:rsid w:val="00DF5469"/>
    <w:rsid w:val="00E4063A"/>
    <w:rsid w:val="00ED1939"/>
    <w:rsid w:val="00F33379"/>
    <w:rsid w:val="00FD4CF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C0D8"/>
  <w15:chartTrackingRefBased/>
  <w15:docId w15:val="{634D7AB4-1089-4E24-A5DB-0D9B0F81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EDB"/>
    <w:rPr>
      <w:rFonts w:eastAsiaTheme="majorEastAsia" w:cstheme="majorBidi"/>
      <w:color w:val="272727" w:themeColor="text1" w:themeTint="D8"/>
    </w:rPr>
  </w:style>
  <w:style w:type="paragraph" w:styleId="Title">
    <w:name w:val="Title"/>
    <w:basedOn w:val="Normal"/>
    <w:next w:val="Normal"/>
    <w:link w:val="TitleChar"/>
    <w:uiPriority w:val="10"/>
    <w:qFormat/>
    <w:rsid w:val="00BC5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EDB"/>
    <w:pPr>
      <w:spacing w:before="160"/>
      <w:jc w:val="center"/>
    </w:pPr>
    <w:rPr>
      <w:i/>
      <w:iCs/>
      <w:color w:val="404040" w:themeColor="text1" w:themeTint="BF"/>
    </w:rPr>
  </w:style>
  <w:style w:type="character" w:customStyle="1" w:styleId="QuoteChar">
    <w:name w:val="Quote Char"/>
    <w:basedOn w:val="DefaultParagraphFont"/>
    <w:link w:val="Quote"/>
    <w:uiPriority w:val="29"/>
    <w:rsid w:val="00BC5EDB"/>
    <w:rPr>
      <w:i/>
      <w:iCs/>
      <w:color w:val="404040" w:themeColor="text1" w:themeTint="BF"/>
    </w:rPr>
  </w:style>
  <w:style w:type="paragraph" w:styleId="ListParagraph">
    <w:name w:val="List Paragraph"/>
    <w:basedOn w:val="Normal"/>
    <w:uiPriority w:val="34"/>
    <w:qFormat/>
    <w:rsid w:val="00BC5EDB"/>
    <w:pPr>
      <w:ind w:left="720"/>
      <w:contextualSpacing/>
    </w:pPr>
  </w:style>
  <w:style w:type="character" w:styleId="IntenseEmphasis">
    <w:name w:val="Intense Emphasis"/>
    <w:basedOn w:val="DefaultParagraphFont"/>
    <w:uiPriority w:val="21"/>
    <w:qFormat/>
    <w:rsid w:val="00BC5EDB"/>
    <w:rPr>
      <w:i/>
      <w:iCs/>
      <w:color w:val="0F4761" w:themeColor="accent1" w:themeShade="BF"/>
    </w:rPr>
  </w:style>
  <w:style w:type="paragraph" w:styleId="IntenseQuote">
    <w:name w:val="Intense Quote"/>
    <w:basedOn w:val="Normal"/>
    <w:next w:val="Normal"/>
    <w:link w:val="IntenseQuoteChar"/>
    <w:uiPriority w:val="30"/>
    <w:qFormat/>
    <w:rsid w:val="00BC5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EDB"/>
    <w:rPr>
      <w:i/>
      <w:iCs/>
      <w:color w:val="0F4761" w:themeColor="accent1" w:themeShade="BF"/>
    </w:rPr>
  </w:style>
  <w:style w:type="character" w:styleId="IntenseReference">
    <w:name w:val="Intense Reference"/>
    <w:basedOn w:val="DefaultParagraphFont"/>
    <w:uiPriority w:val="32"/>
    <w:qFormat/>
    <w:rsid w:val="00BC5EDB"/>
    <w:rPr>
      <w:b/>
      <w:bCs/>
      <w:smallCaps/>
      <w:color w:val="0F4761" w:themeColor="accent1" w:themeShade="BF"/>
      <w:spacing w:val="5"/>
    </w:rPr>
  </w:style>
  <w:style w:type="character" w:styleId="Hyperlink">
    <w:name w:val="Hyperlink"/>
    <w:basedOn w:val="DefaultParagraphFont"/>
    <w:uiPriority w:val="99"/>
    <w:unhideWhenUsed/>
    <w:rsid w:val="00BC5EDB"/>
    <w:rPr>
      <w:color w:val="467886" w:themeColor="hyperlink"/>
      <w:u w:val="single"/>
    </w:rPr>
  </w:style>
  <w:style w:type="character" w:styleId="UnresolvedMention">
    <w:name w:val="Unresolved Mention"/>
    <w:basedOn w:val="DefaultParagraphFont"/>
    <w:uiPriority w:val="99"/>
    <w:semiHidden/>
    <w:unhideWhenUsed/>
    <w:rsid w:val="00BC5EDB"/>
    <w:rPr>
      <w:color w:val="605E5C"/>
      <w:shd w:val="clear" w:color="auto" w:fill="E1DFDD"/>
    </w:rPr>
  </w:style>
  <w:style w:type="table" w:styleId="TableGrid">
    <w:name w:val="Table Grid"/>
    <w:basedOn w:val="TableNormal"/>
    <w:uiPriority w:val="39"/>
    <w:rsid w:val="0004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082">
      <w:bodyDiv w:val="1"/>
      <w:marLeft w:val="0"/>
      <w:marRight w:val="0"/>
      <w:marTop w:val="0"/>
      <w:marBottom w:val="0"/>
      <w:divBdr>
        <w:top w:val="none" w:sz="0" w:space="0" w:color="auto"/>
        <w:left w:val="none" w:sz="0" w:space="0" w:color="auto"/>
        <w:bottom w:val="none" w:sz="0" w:space="0" w:color="auto"/>
        <w:right w:val="none" w:sz="0" w:space="0" w:color="auto"/>
      </w:divBdr>
      <w:divsChild>
        <w:div w:id="72024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48406">
      <w:bodyDiv w:val="1"/>
      <w:marLeft w:val="0"/>
      <w:marRight w:val="0"/>
      <w:marTop w:val="0"/>
      <w:marBottom w:val="0"/>
      <w:divBdr>
        <w:top w:val="none" w:sz="0" w:space="0" w:color="auto"/>
        <w:left w:val="none" w:sz="0" w:space="0" w:color="auto"/>
        <w:bottom w:val="none" w:sz="0" w:space="0" w:color="auto"/>
        <w:right w:val="none" w:sz="0" w:space="0" w:color="auto"/>
      </w:divBdr>
    </w:div>
    <w:div w:id="45304942">
      <w:bodyDiv w:val="1"/>
      <w:marLeft w:val="0"/>
      <w:marRight w:val="0"/>
      <w:marTop w:val="0"/>
      <w:marBottom w:val="0"/>
      <w:divBdr>
        <w:top w:val="none" w:sz="0" w:space="0" w:color="auto"/>
        <w:left w:val="none" w:sz="0" w:space="0" w:color="auto"/>
        <w:bottom w:val="none" w:sz="0" w:space="0" w:color="auto"/>
        <w:right w:val="none" w:sz="0" w:space="0" w:color="auto"/>
      </w:divBdr>
    </w:div>
    <w:div w:id="60908120">
      <w:bodyDiv w:val="1"/>
      <w:marLeft w:val="0"/>
      <w:marRight w:val="0"/>
      <w:marTop w:val="0"/>
      <w:marBottom w:val="0"/>
      <w:divBdr>
        <w:top w:val="none" w:sz="0" w:space="0" w:color="auto"/>
        <w:left w:val="none" w:sz="0" w:space="0" w:color="auto"/>
        <w:bottom w:val="none" w:sz="0" w:space="0" w:color="auto"/>
        <w:right w:val="none" w:sz="0" w:space="0" w:color="auto"/>
      </w:divBdr>
    </w:div>
    <w:div w:id="82338136">
      <w:bodyDiv w:val="1"/>
      <w:marLeft w:val="0"/>
      <w:marRight w:val="0"/>
      <w:marTop w:val="0"/>
      <w:marBottom w:val="0"/>
      <w:divBdr>
        <w:top w:val="none" w:sz="0" w:space="0" w:color="auto"/>
        <w:left w:val="none" w:sz="0" w:space="0" w:color="auto"/>
        <w:bottom w:val="none" w:sz="0" w:space="0" w:color="auto"/>
        <w:right w:val="none" w:sz="0" w:space="0" w:color="auto"/>
      </w:divBdr>
    </w:div>
    <w:div w:id="174928537">
      <w:bodyDiv w:val="1"/>
      <w:marLeft w:val="0"/>
      <w:marRight w:val="0"/>
      <w:marTop w:val="0"/>
      <w:marBottom w:val="0"/>
      <w:divBdr>
        <w:top w:val="none" w:sz="0" w:space="0" w:color="auto"/>
        <w:left w:val="none" w:sz="0" w:space="0" w:color="auto"/>
        <w:bottom w:val="none" w:sz="0" w:space="0" w:color="auto"/>
        <w:right w:val="none" w:sz="0" w:space="0" w:color="auto"/>
      </w:divBdr>
      <w:divsChild>
        <w:div w:id="893083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6293">
      <w:bodyDiv w:val="1"/>
      <w:marLeft w:val="0"/>
      <w:marRight w:val="0"/>
      <w:marTop w:val="0"/>
      <w:marBottom w:val="0"/>
      <w:divBdr>
        <w:top w:val="none" w:sz="0" w:space="0" w:color="auto"/>
        <w:left w:val="none" w:sz="0" w:space="0" w:color="auto"/>
        <w:bottom w:val="none" w:sz="0" w:space="0" w:color="auto"/>
        <w:right w:val="none" w:sz="0" w:space="0" w:color="auto"/>
      </w:divBdr>
    </w:div>
    <w:div w:id="214464708">
      <w:bodyDiv w:val="1"/>
      <w:marLeft w:val="0"/>
      <w:marRight w:val="0"/>
      <w:marTop w:val="0"/>
      <w:marBottom w:val="0"/>
      <w:divBdr>
        <w:top w:val="none" w:sz="0" w:space="0" w:color="auto"/>
        <w:left w:val="none" w:sz="0" w:space="0" w:color="auto"/>
        <w:bottom w:val="none" w:sz="0" w:space="0" w:color="auto"/>
        <w:right w:val="none" w:sz="0" w:space="0" w:color="auto"/>
      </w:divBdr>
      <w:divsChild>
        <w:div w:id="201198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172927">
      <w:bodyDiv w:val="1"/>
      <w:marLeft w:val="0"/>
      <w:marRight w:val="0"/>
      <w:marTop w:val="0"/>
      <w:marBottom w:val="0"/>
      <w:divBdr>
        <w:top w:val="none" w:sz="0" w:space="0" w:color="auto"/>
        <w:left w:val="none" w:sz="0" w:space="0" w:color="auto"/>
        <w:bottom w:val="none" w:sz="0" w:space="0" w:color="auto"/>
        <w:right w:val="none" w:sz="0" w:space="0" w:color="auto"/>
      </w:divBdr>
    </w:div>
    <w:div w:id="240793574">
      <w:bodyDiv w:val="1"/>
      <w:marLeft w:val="0"/>
      <w:marRight w:val="0"/>
      <w:marTop w:val="0"/>
      <w:marBottom w:val="0"/>
      <w:divBdr>
        <w:top w:val="none" w:sz="0" w:space="0" w:color="auto"/>
        <w:left w:val="none" w:sz="0" w:space="0" w:color="auto"/>
        <w:bottom w:val="none" w:sz="0" w:space="0" w:color="auto"/>
        <w:right w:val="none" w:sz="0" w:space="0" w:color="auto"/>
      </w:divBdr>
    </w:div>
    <w:div w:id="255552116">
      <w:bodyDiv w:val="1"/>
      <w:marLeft w:val="0"/>
      <w:marRight w:val="0"/>
      <w:marTop w:val="0"/>
      <w:marBottom w:val="0"/>
      <w:divBdr>
        <w:top w:val="none" w:sz="0" w:space="0" w:color="auto"/>
        <w:left w:val="none" w:sz="0" w:space="0" w:color="auto"/>
        <w:bottom w:val="none" w:sz="0" w:space="0" w:color="auto"/>
        <w:right w:val="none" w:sz="0" w:space="0" w:color="auto"/>
      </w:divBdr>
      <w:divsChild>
        <w:div w:id="8542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302075">
      <w:bodyDiv w:val="1"/>
      <w:marLeft w:val="0"/>
      <w:marRight w:val="0"/>
      <w:marTop w:val="0"/>
      <w:marBottom w:val="0"/>
      <w:divBdr>
        <w:top w:val="none" w:sz="0" w:space="0" w:color="auto"/>
        <w:left w:val="none" w:sz="0" w:space="0" w:color="auto"/>
        <w:bottom w:val="none" w:sz="0" w:space="0" w:color="auto"/>
        <w:right w:val="none" w:sz="0" w:space="0" w:color="auto"/>
      </w:divBdr>
    </w:div>
    <w:div w:id="442070488">
      <w:bodyDiv w:val="1"/>
      <w:marLeft w:val="0"/>
      <w:marRight w:val="0"/>
      <w:marTop w:val="0"/>
      <w:marBottom w:val="0"/>
      <w:divBdr>
        <w:top w:val="none" w:sz="0" w:space="0" w:color="auto"/>
        <w:left w:val="none" w:sz="0" w:space="0" w:color="auto"/>
        <w:bottom w:val="none" w:sz="0" w:space="0" w:color="auto"/>
        <w:right w:val="none" w:sz="0" w:space="0" w:color="auto"/>
      </w:divBdr>
      <w:divsChild>
        <w:div w:id="176626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76622">
      <w:bodyDiv w:val="1"/>
      <w:marLeft w:val="0"/>
      <w:marRight w:val="0"/>
      <w:marTop w:val="0"/>
      <w:marBottom w:val="0"/>
      <w:divBdr>
        <w:top w:val="none" w:sz="0" w:space="0" w:color="auto"/>
        <w:left w:val="none" w:sz="0" w:space="0" w:color="auto"/>
        <w:bottom w:val="none" w:sz="0" w:space="0" w:color="auto"/>
        <w:right w:val="none" w:sz="0" w:space="0" w:color="auto"/>
      </w:divBdr>
    </w:div>
    <w:div w:id="500197489">
      <w:bodyDiv w:val="1"/>
      <w:marLeft w:val="0"/>
      <w:marRight w:val="0"/>
      <w:marTop w:val="0"/>
      <w:marBottom w:val="0"/>
      <w:divBdr>
        <w:top w:val="none" w:sz="0" w:space="0" w:color="auto"/>
        <w:left w:val="none" w:sz="0" w:space="0" w:color="auto"/>
        <w:bottom w:val="none" w:sz="0" w:space="0" w:color="auto"/>
        <w:right w:val="none" w:sz="0" w:space="0" w:color="auto"/>
      </w:divBdr>
    </w:div>
    <w:div w:id="666981445">
      <w:bodyDiv w:val="1"/>
      <w:marLeft w:val="0"/>
      <w:marRight w:val="0"/>
      <w:marTop w:val="0"/>
      <w:marBottom w:val="0"/>
      <w:divBdr>
        <w:top w:val="none" w:sz="0" w:space="0" w:color="auto"/>
        <w:left w:val="none" w:sz="0" w:space="0" w:color="auto"/>
        <w:bottom w:val="none" w:sz="0" w:space="0" w:color="auto"/>
        <w:right w:val="none" w:sz="0" w:space="0" w:color="auto"/>
      </w:divBdr>
    </w:div>
    <w:div w:id="913930848">
      <w:bodyDiv w:val="1"/>
      <w:marLeft w:val="0"/>
      <w:marRight w:val="0"/>
      <w:marTop w:val="0"/>
      <w:marBottom w:val="0"/>
      <w:divBdr>
        <w:top w:val="none" w:sz="0" w:space="0" w:color="auto"/>
        <w:left w:val="none" w:sz="0" w:space="0" w:color="auto"/>
        <w:bottom w:val="none" w:sz="0" w:space="0" w:color="auto"/>
        <w:right w:val="none" w:sz="0" w:space="0" w:color="auto"/>
      </w:divBdr>
    </w:div>
    <w:div w:id="924343781">
      <w:bodyDiv w:val="1"/>
      <w:marLeft w:val="0"/>
      <w:marRight w:val="0"/>
      <w:marTop w:val="0"/>
      <w:marBottom w:val="0"/>
      <w:divBdr>
        <w:top w:val="none" w:sz="0" w:space="0" w:color="auto"/>
        <w:left w:val="none" w:sz="0" w:space="0" w:color="auto"/>
        <w:bottom w:val="none" w:sz="0" w:space="0" w:color="auto"/>
        <w:right w:val="none" w:sz="0" w:space="0" w:color="auto"/>
      </w:divBdr>
      <w:divsChild>
        <w:div w:id="1316299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18743">
      <w:bodyDiv w:val="1"/>
      <w:marLeft w:val="0"/>
      <w:marRight w:val="0"/>
      <w:marTop w:val="0"/>
      <w:marBottom w:val="0"/>
      <w:divBdr>
        <w:top w:val="none" w:sz="0" w:space="0" w:color="auto"/>
        <w:left w:val="none" w:sz="0" w:space="0" w:color="auto"/>
        <w:bottom w:val="none" w:sz="0" w:space="0" w:color="auto"/>
        <w:right w:val="none" w:sz="0" w:space="0" w:color="auto"/>
      </w:divBdr>
    </w:div>
    <w:div w:id="985931254">
      <w:bodyDiv w:val="1"/>
      <w:marLeft w:val="0"/>
      <w:marRight w:val="0"/>
      <w:marTop w:val="0"/>
      <w:marBottom w:val="0"/>
      <w:divBdr>
        <w:top w:val="none" w:sz="0" w:space="0" w:color="auto"/>
        <w:left w:val="none" w:sz="0" w:space="0" w:color="auto"/>
        <w:bottom w:val="none" w:sz="0" w:space="0" w:color="auto"/>
        <w:right w:val="none" w:sz="0" w:space="0" w:color="auto"/>
      </w:divBdr>
    </w:div>
    <w:div w:id="1030106316">
      <w:bodyDiv w:val="1"/>
      <w:marLeft w:val="0"/>
      <w:marRight w:val="0"/>
      <w:marTop w:val="0"/>
      <w:marBottom w:val="0"/>
      <w:divBdr>
        <w:top w:val="none" w:sz="0" w:space="0" w:color="auto"/>
        <w:left w:val="none" w:sz="0" w:space="0" w:color="auto"/>
        <w:bottom w:val="none" w:sz="0" w:space="0" w:color="auto"/>
        <w:right w:val="none" w:sz="0" w:space="0" w:color="auto"/>
      </w:divBdr>
      <w:divsChild>
        <w:div w:id="25698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827932">
      <w:bodyDiv w:val="1"/>
      <w:marLeft w:val="0"/>
      <w:marRight w:val="0"/>
      <w:marTop w:val="0"/>
      <w:marBottom w:val="0"/>
      <w:divBdr>
        <w:top w:val="none" w:sz="0" w:space="0" w:color="auto"/>
        <w:left w:val="none" w:sz="0" w:space="0" w:color="auto"/>
        <w:bottom w:val="none" w:sz="0" w:space="0" w:color="auto"/>
        <w:right w:val="none" w:sz="0" w:space="0" w:color="auto"/>
      </w:divBdr>
      <w:divsChild>
        <w:div w:id="343747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500784">
      <w:bodyDiv w:val="1"/>
      <w:marLeft w:val="0"/>
      <w:marRight w:val="0"/>
      <w:marTop w:val="0"/>
      <w:marBottom w:val="0"/>
      <w:divBdr>
        <w:top w:val="none" w:sz="0" w:space="0" w:color="auto"/>
        <w:left w:val="none" w:sz="0" w:space="0" w:color="auto"/>
        <w:bottom w:val="none" w:sz="0" w:space="0" w:color="auto"/>
        <w:right w:val="none" w:sz="0" w:space="0" w:color="auto"/>
      </w:divBdr>
    </w:div>
    <w:div w:id="1215195009">
      <w:bodyDiv w:val="1"/>
      <w:marLeft w:val="0"/>
      <w:marRight w:val="0"/>
      <w:marTop w:val="0"/>
      <w:marBottom w:val="0"/>
      <w:divBdr>
        <w:top w:val="none" w:sz="0" w:space="0" w:color="auto"/>
        <w:left w:val="none" w:sz="0" w:space="0" w:color="auto"/>
        <w:bottom w:val="none" w:sz="0" w:space="0" w:color="auto"/>
        <w:right w:val="none" w:sz="0" w:space="0" w:color="auto"/>
      </w:divBdr>
    </w:div>
    <w:div w:id="1503079799">
      <w:bodyDiv w:val="1"/>
      <w:marLeft w:val="0"/>
      <w:marRight w:val="0"/>
      <w:marTop w:val="0"/>
      <w:marBottom w:val="0"/>
      <w:divBdr>
        <w:top w:val="none" w:sz="0" w:space="0" w:color="auto"/>
        <w:left w:val="none" w:sz="0" w:space="0" w:color="auto"/>
        <w:bottom w:val="none" w:sz="0" w:space="0" w:color="auto"/>
        <w:right w:val="none" w:sz="0" w:space="0" w:color="auto"/>
      </w:divBdr>
      <w:divsChild>
        <w:div w:id="813063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325902">
      <w:bodyDiv w:val="1"/>
      <w:marLeft w:val="0"/>
      <w:marRight w:val="0"/>
      <w:marTop w:val="0"/>
      <w:marBottom w:val="0"/>
      <w:divBdr>
        <w:top w:val="none" w:sz="0" w:space="0" w:color="auto"/>
        <w:left w:val="none" w:sz="0" w:space="0" w:color="auto"/>
        <w:bottom w:val="none" w:sz="0" w:space="0" w:color="auto"/>
        <w:right w:val="none" w:sz="0" w:space="0" w:color="auto"/>
      </w:divBdr>
    </w:div>
    <w:div w:id="1569151091">
      <w:bodyDiv w:val="1"/>
      <w:marLeft w:val="0"/>
      <w:marRight w:val="0"/>
      <w:marTop w:val="0"/>
      <w:marBottom w:val="0"/>
      <w:divBdr>
        <w:top w:val="none" w:sz="0" w:space="0" w:color="auto"/>
        <w:left w:val="none" w:sz="0" w:space="0" w:color="auto"/>
        <w:bottom w:val="none" w:sz="0" w:space="0" w:color="auto"/>
        <w:right w:val="none" w:sz="0" w:space="0" w:color="auto"/>
      </w:divBdr>
    </w:div>
    <w:div w:id="1660377614">
      <w:bodyDiv w:val="1"/>
      <w:marLeft w:val="0"/>
      <w:marRight w:val="0"/>
      <w:marTop w:val="0"/>
      <w:marBottom w:val="0"/>
      <w:divBdr>
        <w:top w:val="none" w:sz="0" w:space="0" w:color="auto"/>
        <w:left w:val="none" w:sz="0" w:space="0" w:color="auto"/>
        <w:bottom w:val="none" w:sz="0" w:space="0" w:color="auto"/>
        <w:right w:val="none" w:sz="0" w:space="0" w:color="auto"/>
      </w:divBdr>
      <w:divsChild>
        <w:div w:id="190614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614821">
      <w:bodyDiv w:val="1"/>
      <w:marLeft w:val="0"/>
      <w:marRight w:val="0"/>
      <w:marTop w:val="0"/>
      <w:marBottom w:val="0"/>
      <w:divBdr>
        <w:top w:val="none" w:sz="0" w:space="0" w:color="auto"/>
        <w:left w:val="none" w:sz="0" w:space="0" w:color="auto"/>
        <w:bottom w:val="none" w:sz="0" w:space="0" w:color="auto"/>
        <w:right w:val="none" w:sz="0" w:space="0" w:color="auto"/>
      </w:divBdr>
    </w:div>
    <w:div w:id="1783498094">
      <w:bodyDiv w:val="1"/>
      <w:marLeft w:val="0"/>
      <w:marRight w:val="0"/>
      <w:marTop w:val="0"/>
      <w:marBottom w:val="0"/>
      <w:divBdr>
        <w:top w:val="none" w:sz="0" w:space="0" w:color="auto"/>
        <w:left w:val="none" w:sz="0" w:space="0" w:color="auto"/>
        <w:bottom w:val="none" w:sz="0" w:space="0" w:color="auto"/>
        <w:right w:val="none" w:sz="0" w:space="0" w:color="auto"/>
      </w:divBdr>
    </w:div>
    <w:div w:id="1802651419">
      <w:bodyDiv w:val="1"/>
      <w:marLeft w:val="0"/>
      <w:marRight w:val="0"/>
      <w:marTop w:val="0"/>
      <w:marBottom w:val="0"/>
      <w:divBdr>
        <w:top w:val="none" w:sz="0" w:space="0" w:color="auto"/>
        <w:left w:val="none" w:sz="0" w:space="0" w:color="auto"/>
        <w:bottom w:val="none" w:sz="0" w:space="0" w:color="auto"/>
        <w:right w:val="none" w:sz="0" w:space="0" w:color="auto"/>
      </w:divBdr>
    </w:div>
    <w:div w:id="210168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12</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Rubanofficr</dc:creator>
  <cp:keywords/>
  <dc:description/>
  <cp:lastModifiedBy>Nisar and Kumar</cp:lastModifiedBy>
  <cp:revision>27</cp:revision>
  <dcterms:created xsi:type="dcterms:W3CDTF">2025-05-22T02:19:00Z</dcterms:created>
  <dcterms:modified xsi:type="dcterms:W3CDTF">2025-06-21T07:22:00Z</dcterms:modified>
</cp:coreProperties>
</file>